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access-agreement"/>
    <w:p>
      <w:pPr>
        <w:pStyle w:val="Heading1"/>
      </w:pPr>
      <w:r>
        <w:t xml:space="preserve">Access Agreement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https://kston83.github.io/nist-guide/templates/forms/access-agreement/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Agreement version</w:t>
            </w:r>
          </w:p>
        </w:tc>
        <w:tc>
          <w:tcPr/>
          <w:p>
            <w:pPr>
              <w:pStyle w:val="Compact"/>
            </w:pPr>
            <w:r>
              <w:t xml:space="preserve">Effective date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</w:tbl>
    <w:bookmarkStart w:id="11" w:name="about-this-agreement"/>
    <w:p>
      <w:pPr>
        <w:pStyle w:val="Heading2"/>
      </w:pPr>
      <w:r>
        <w:t xml:space="preserve">About this agreement</w:t>
      </w:r>
    </w:p>
    <w:p>
      <w:pPr>
        <w:pStyle w:val="FirstParagraph"/>
      </w:pPr>
      <w:r>
        <w:t xml:space="preserve">Everyone who needs access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’s information or systems signs this agreement before access is granted, including employees, contractors and partners (PS-6c.1). You sign it again when it is updated, and</w:t>
      </w:r>
      <w:r>
        <w:t xml:space="preserve"> </w:t>
      </w:r>
      <w:r>
        <w:rPr>
          <w:rStyle w:val="Fill-in"/>
        </w:rPr>
        <w:t xml:space="preserve">[Fill in: the frequency at which to re-sign access agreements to maintain access to organizational information. Typical: annually]</w:t>
      </w:r>
      <w:r>
        <w:t xml:space="preserve">, to keep your access (PS-6c.2). If you do not re-sign an updated agreement, your access is suspended until you do.</w:t>
      </w:r>
    </w:p>
    <w:p>
      <w:pPr>
        <w:pStyle w:val="BodyText"/>
      </w:pPr>
      <w:r>
        <w:t xml:space="preserve">This agreement adds to the Rules of Behavior, which you also sign. Where the two differ, the stricter one applies.</w:t>
      </w:r>
    </w:p>
    <w:bookmarkEnd w:id="11"/>
    <w:bookmarkStart w:id="20" w:name="terms"/>
    <w:p>
      <w:pPr>
        <w:pStyle w:val="Heading2"/>
      </w:pPr>
      <w:r>
        <w:t xml:space="preserve">Terms</w:t>
      </w:r>
    </w:p>
    <w:bookmarkStart w:id="12" w:name="authorized-use"/>
    <w:p>
      <w:pPr>
        <w:pStyle w:val="Heading3"/>
      </w:pPr>
      <w:r>
        <w:t xml:space="preserve">Authorized use</w:t>
      </w:r>
    </w:p>
    <w:p>
      <w:pPr>
        <w:pStyle w:val="Compact"/>
        <w:numPr>
          <w:ilvl w:val="0"/>
          <w:numId w:val="1001"/>
        </w:numPr>
      </w:pPr>
      <w:r>
        <w:t xml:space="preserve">I will use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’s information and systems only for the purposes I am authorized for, and only as my role requires.</w:t>
      </w:r>
    </w:p>
    <w:p>
      <w:pPr>
        <w:pStyle w:val="Compact"/>
        <w:numPr>
          <w:ilvl w:val="0"/>
          <w:numId w:val="1001"/>
        </w:numPr>
      </w:pPr>
      <w:r>
        <w:t xml:space="preserve">I will not try to gain access to information or systems I am not authorized to use, or help anyone else do so.</w:t>
      </w:r>
    </w:p>
    <w:p>
      <w:pPr>
        <w:pStyle w:val="Compact"/>
        <w:numPr>
          <w:ilvl w:val="0"/>
          <w:numId w:val="1001"/>
        </w:numPr>
      </w:pPr>
      <w:r>
        <w:t xml:space="preserve">I will follow the Rules of Behavior and the organization’s security and privacy policies.</w:t>
      </w:r>
    </w:p>
    <w:bookmarkEnd w:id="12"/>
    <w:bookmarkStart w:id="13" w:name="nondisclosure"/>
    <w:p>
      <w:pPr>
        <w:pStyle w:val="Heading3"/>
      </w:pPr>
      <w:r>
        <w:t xml:space="preserve">Nondisclosure</w:t>
      </w:r>
    </w:p>
    <w:p>
      <w:pPr>
        <w:pStyle w:val="Compact"/>
        <w:numPr>
          <w:ilvl w:val="0"/>
          <w:numId w:val="1002"/>
        </w:numPr>
      </w:pPr>
      <w:r>
        <w:t xml:space="preserve">I will not disclose nonpublic information of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or information entrusted to it by others, to anyone who is not authorized to receive it.</w:t>
      </w:r>
    </w:p>
    <w:p>
      <w:pPr>
        <w:pStyle w:val="Compact"/>
        <w:numPr>
          <w:ilvl w:val="0"/>
          <w:numId w:val="1002"/>
        </w:numPr>
      </w:pPr>
      <w:r>
        <w:t xml:space="preserve">I will protect such information according to its marking or sensitivity, in any form and wherever I work.</w:t>
      </w:r>
    </w:p>
    <w:p>
      <w:pPr>
        <w:pStyle w:val="Compact"/>
        <w:numPr>
          <w:ilvl w:val="0"/>
          <w:numId w:val="1002"/>
        </w:numPr>
      </w:pPr>
      <w:r>
        <w:t xml:space="preserve">My duty not to disclose this information continues after my access ends, for as long as the information stays nonpublic, unless a law or a written agreement says otherwise.</w:t>
      </w:r>
    </w:p>
    <w:bookmarkEnd w:id="13"/>
    <w:bookmarkStart w:id="14" w:name="personal-information"/>
    <w:p>
      <w:pPr>
        <w:pStyle w:val="Heading3"/>
      </w:pPr>
      <w:r>
        <w:t xml:space="preserve">Personal information</w:t>
      </w:r>
    </w:p>
    <w:p>
      <w:pPr>
        <w:pStyle w:val="Compact"/>
        <w:numPr>
          <w:ilvl w:val="0"/>
          <w:numId w:val="1003"/>
        </w:numPr>
      </w:pPr>
      <w:r>
        <w:t xml:space="preserve">I will access personally identifiable information only when my work requires it, and use it only for the purpose it was collected for.</w:t>
      </w:r>
    </w:p>
    <w:p>
      <w:pPr>
        <w:pStyle w:val="Compact"/>
        <w:numPr>
          <w:ilvl w:val="0"/>
          <w:numId w:val="1003"/>
        </w:numPr>
      </w:pPr>
      <w:r>
        <w:t xml:space="preserve">I will report any loss, misuse or unauthorized disclosure of personally identifiable information as soon as I know of it.</w:t>
      </w:r>
    </w:p>
    <w:bookmarkEnd w:id="14"/>
    <w:bookmarkStart w:id="15" w:name="monitoring"/>
    <w:p>
      <w:pPr>
        <w:pStyle w:val="Heading3"/>
      </w:pPr>
      <w:r>
        <w:t xml:space="preserve">Monitoring</w:t>
      </w:r>
    </w:p>
    <w:p>
      <w:pPr>
        <w:pStyle w:val="Compact"/>
        <w:numPr>
          <w:ilvl w:val="0"/>
          <w:numId w:val="1004"/>
        </w:numPr>
      </w:pPr>
      <w:r>
        <w:t xml:space="preserve">I understand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monitors and records the use of its systems, as the system use notice says (AC-8), and that I have no expectation of privacy in what I do on them, except where a law provides otherwise.</w:t>
      </w:r>
    </w:p>
    <w:p>
      <w:pPr>
        <w:pStyle w:val="Compact"/>
        <w:numPr>
          <w:ilvl w:val="0"/>
          <w:numId w:val="1004"/>
        </w:numPr>
      </w:pPr>
      <w:r>
        <w:t xml:space="preserve">I understand that monitoring records may be reviewed and used in investigations and disciplinary action.</w:t>
      </w:r>
    </w:p>
    <w:bookmarkEnd w:id="15"/>
    <w:bookmarkStart w:id="16" w:name="reporting"/>
    <w:p>
      <w:pPr>
        <w:pStyle w:val="Heading3"/>
      </w:pPr>
      <w:r>
        <w:t xml:space="preserve">Reporting</w:t>
      </w:r>
    </w:p>
    <w:p>
      <w:pPr>
        <w:pStyle w:val="Compact"/>
        <w:numPr>
          <w:ilvl w:val="0"/>
          <w:numId w:val="1005"/>
        </w:numPr>
      </w:pPr>
      <w:r>
        <w:t xml:space="preserve">I will report suspected security incidents, privacy breaches and violations of this agreement to</w:t>
      </w:r>
      <w:r>
        <w:t xml:space="preserve"> </w:t>
      </w:r>
      <w:r>
        <w:rPr>
          <w:rStyle w:val="Fill-in"/>
        </w:rPr>
        <w:t xml:space="preserve">[Fill in: where to report, for example the service desk or the security team]</w:t>
      </w:r>
      <w:r>
        <w:t xml:space="preserve"> </w:t>
      </w:r>
      <w:r>
        <w:t xml:space="preserve">as soon as I know of them.</w:t>
      </w:r>
    </w:p>
    <w:bookmarkEnd w:id="16"/>
    <w:bookmarkStart w:id="17" w:name="when-my-access-ends"/>
    <w:p>
      <w:pPr>
        <w:pStyle w:val="Heading3"/>
      </w:pPr>
      <w:r>
        <w:t xml:space="preserve">When my access ends</w:t>
      </w:r>
    </w:p>
    <w:p>
      <w:pPr>
        <w:pStyle w:val="Compact"/>
        <w:numPr>
          <w:ilvl w:val="0"/>
          <w:numId w:val="1006"/>
        </w:numPr>
      </w:pPr>
      <w:r>
        <w:t xml:space="preserve">When I leave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or no longer need access, I will return all organizational property, including devices, authentication tokens, keys, identification cards, building passes, and information in any form (PS-4d).</w:t>
      </w:r>
    </w:p>
    <w:p>
      <w:pPr>
        <w:pStyle w:val="Compact"/>
        <w:numPr>
          <w:ilvl w:val="0"/>
          <w:numId w:val="1006"/>
        </w:numPr>
      </w:pPr>
      <w:r>
        <w:t xml:space="preserve">I will take part in an exit interview if asked, which will cover</w:t>
      </w:r>
      <w:r>
        <w:t xml:space="preserve"> </w:t>
      </w:r>
      <w:r>
        <w:rPr>
          <w:rStyle w:val="Fill-in"/>
        </w:rPr>
        <w:t xml:space="preserve">[Fill in: information security topics to be discussed when conducting exit interviews. Typical: the individual’s continuing duty not to disclose organizational information, the return of all organizational property and information, and that former credentials must not be used]</w:t>
      </w:r>
      <w:r>
        <w:t xml:space="preserve"> </w:t>
      </w:r>
      <w:r>
        <w:t xml:space="preserve">(PS-4c).</w:t>
      </w:r>
    </w:p>
    <w:p>
      <w:pPr>
        <w:pStyle w:val="Compact"/>
        <w:numPr>
          <w:ilvl w:val="0"/>
          <w:numId w:val="1006"/>
        </w:numPr>
      </w:pPr>
      <w:r>
        <w:t xml:space="preserve">I will not use any credential or access I held after it has ended.</w:t>
      </w:r>
    </w:p>
    <w:bookmarkEnd w:id="17"/>
    <w:bookmarkStart w:id="18" w:name="conflict-of-interest"/>
    <w:p>
      <w:pPr>
        <w:pStyle w:val="Heading3"/>
      </w:pPr>
      <w:r>
        <w:t xml:space="preserve">Conflict of interest</w:t>
      </w:r>
    </w:p>
    <w:p>
      <w:pPr>
        <w:pStyle w:val="Compact"/>
        <w:numPr>
          <w:ilvl w:val="0"/>
          <w:numId w:val="1007"/>
        </w:numPr>
      </w:pPr>
      <w:r>
        <w:t xml:space="preserve">I will tell</w:t>
      </w:r>
      <w:r>
        <w:t xml:space="preserve"> </w:t>
      </w:r>
      <w:r>
        <w:rPr>
          <w:rStyle w:val="Fill-in"/>
        </w:rPr>
        <w:t xml:space="preserve">[Fill in: who, for example my supervisor or the ethics office]</w:t>
      </w:r>
      <w:r>
        <w:t xml:space="preserve"> </w:t>
      </w:r>
      <w:r>
        <w:t xml:space="preserve">about any interest or relationship that conflicts, or could appear to conflict, with my access or duties.</w:t>
      </w:r>
    </w:p>
    <w:bookmarkEnd w:id="18"/>
    <w:bookmarkStart w:id="19" w:name="consequences"/>
    <w:p>
      <w:pPr>
        <w:pStyle w:val="Heading3"/>
      </w:pPr>
      <w:r>
        <w:t xml:space="preserve">Consequences</w:t>
      </w:r>
    </w:p>
    <w:p>
      <w:pPr>
        <w:pStyle w:val="Compact"/>
        <w:numPr>
          <w:ilvl w:val="0"/>
          <w:numId w:val="1008"/>
        </w:numPr>
      </w:pPr>
      <w:r>
        <w:t xml:space="preserve">I understand that breaking this agreement may lead to loss of access and to action under the organization’s sanctions process (PS-8), and that some breaches may also be unlawful.</w:t>
      </w:r>
    </w:p>
    <w:bookmarkEnd w:id="19"/>
    <w:bookmarkEnd w:id="20"/>
    <w:bookmarkStart w:id="21" w:name="additional-terms-for-privileged-users"/>
    <w:p>
      <w:pPr>
        <w:pStyle w:val="Heading2"/>
      </w:pPr>
      <w:r>
        <w:t xml:space="preserve">Additional terms for privileged users</w:t>
      </w:r>
    </w:p>
    <w:p>
      <w:pPr>
        <w:pStyle w:val="FirstParagraph"/>
      </w:pPr>
      <w:r>
        <w:t xml:space="preserve">Complete this section only for a person who is given privileged access, such as a system administrator.</w:t>
      </w:r>
    </w:p>
    <w:p>
      <w:pPr>
        <w:pStyle w:val="Compact"/>
        <w:numPr>
          <w:ilvl w:val="0"/>
          <w:numId w:val="1009"/>
        </w:numPr>
      </w:pPr>
      <w:r>
        <w:t xml:space="preserve">I will use privileged accounts only for tasks that need them, and use my regular account for everything else (AC-6(2)).</w:t>
      </w:r>
    </w:p>
    <w:p>
      <w:pPr>
        <w:pStyle w:val="Compact"/>
        <w:numPr>
          <w:ilvl w:val="0"/>
          <w:numId w:val="1009"/>
        </w:numPr>
      </w:pPr>
      <w:r>
        <w:t xml:space="preserve">I will not use privileged access to look at information I have no business need to see, or to change audit records or security settings without authorization.</w:t>
      </w:r>
    </w:p>
    <w:p>
      <w:pPr>
        <w:pStyle w:val="Compact"/>
        <w:numPr>
          <w:ilvl w:val="0"/>
          <w:numId w:val="1009"/>
        </w:numPr>
      </w:pPr>
      <w:r>
        <w:t xml:space="preserve">I will record privileged changes through the organization’s change management process (CM-3).</w:t>
      </w:r>
    </w:p>
    <w:bookmarkEnd w:id="21"/>
    <w:bookmarkStart w:id="22" w:name="acknowledgment"/>
    <w:p>
      <w:pPr>
        <w:pStyle w:val="Heading2"/>
      </w:pPr>
      <w:r>
        <w:t xml:space="preserve">Acknowledgment</w:t>
      </w:r>
    </w:p>
    <w:p>
      <w:pPr>
        <w:pStyle w:val="FirstParagraph"/>
      </w:pPr>
      <w:r>
        <w:t xml:space="preserve">I have read, understand and agree to follow this agreement and the Rules of Behavior (PS-6).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Organization or employer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Privileged user (yes or no)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organization]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signature]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2"/>
    <w:bookmarkStart w:id="23" w:name="maintaining-this-agreement"/>
    <w:p>
      <w:pPr>
        <w:pStyle w:val="Heading2"/>
      </w:pPr>
      <w:r>
        <w:t xml:space="preserve">Maintaining this agreement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owns this agreement and documents it for the organization’s systems (PS-6a).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reviews and updates this agreement</w:t>
      </w:r>
      <w:r>
        <w:t xml:space="preserve"> </w:t>
      </w:r>
      <w:r>
        <w:rPr>
          <w:rStyle w:val="Fill-in"/>
        </w:rPr>
        <w:t xml:space="preserve">[Fill in: the frequency at which to review and update access agreements. Typical: annually]</w:t>
      </w:r>
      <w:r>
        <w:t xml:space="preserve"> </w:t>
      </w:r>
      <w:r>
        <w:t xml:space="preserve">(PS-6b).</w:t>
      </w:r>
    </w:p>
    <w:p>
      <w:pPr>
        <w:pStyle w:val="Compact"/>
        <w:numPr>
          <w:ilvl w:val="0"/>
          <w:numId w:val="1010"/>
        </w:numPr>
      </w:pPr>
      <w:r>
        <w:t xml:space="preserve">The account manager checks for a signed agreement before granting access, and for a new signature after each update (PS-6c).</w:t>
      </w:r>
    </w:p>
    <w:p>
      <w:pPr>
        <w:pStyle w:val="Compact"/>
        <w:numPr>
          <w:ilvl w:val="0"/>
          <w:numId w:val="1010"/>
        </w:numPr>
      </w:pPr>
      <w:r>
        <w:t xml:space="preserve">Signed agreements are kept</w:t>
      </w:r>
      <w:r>
        <w:t xml:space="preserve"> </w:t>
      </w:r>
      <w:r>
        <w:rPr>
          <w:rStyle w:val="Fill-in"/>
        </w:rPr>
        <w:t xml:space="preserve">[Fill in: where, for example in the personnel file or the identity governance system]</w:t>
      </w:r>
      <w:r>
        <w:t xml:space="preserve"> </w:t>
      </w:r>
      <w:r>
        <w:t xml:space="preserve">for</w:t>
      </w:r>
      <w:r>
        <w:t xml:space="preserve"> </w:t>
      </w:r>
      <w:r>
        <w:rPr>
          <w:rStyle w:val="Fill-in"/>
        </w:rPr>
        <w:t xml:space="preserve">[Fill in: how long, for example until 3 years after access ends]</w:t>
      </w:r>
      <w:r>
        <w:t xml:space="preserve">.</w:t>
      </w:r>
    </w:p>
    <w:bookmarkEnd w:id="23"/>
    <w:bookmarkStart w:id="24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Organizational unit or employer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Agreement version</w:t>
            </w:r>
          </w:p>
        </w:tc>
        <w:tc>
          <w:tcPr/>
          <w:p>
            <w:pPr>
              <w:pStyle w:val="Compact"/>
            </w:pPr>
            <w:r>
              <w:t xml:space="preserve">Privileged terms</w:t>
            </w:r>
          </w:p>
        </w:tc>
        <w:tc>
          <w:tcPr/>
          <w:p>
            <w:pPr>
              <w:pStyle w:val="Compact"/>
            </w:pPr>
            <w:r>
              <w:t xml:space="preserve">Date signed</w:t>
            </w:r>
          </w:p>
        </w:tc>
        <w:tc>
          <w:tcPr/>
          <w:p>
            <w:pPr>
              <w:pStyle w:val="Compact"/>
            </w:pPr>
            <w:r>
              <w:t xml:space="preserve">Access granted</w:t>
            </w:r>
          </w:p>
        </w:tc>
        <w:tc>
          <w:tcPr/>
          <w:p>
            <w:pPr>
              <w:pStyle w:val="Compact"/>
            </w:pPr>
            <w:r>
              <w:t xml:space="preserve">Re-sign due</w:t>
            </w:r>
          </w:p>
        </w:tc>
        <w:tc>
          <w:tcPr/>
          <w:p>
            <w:pPr>
              <w:pStyle w:val="Compact"/>
            </w:pPr>
            <w:r>
              <w:t xml:space="preserve">Where the signed copy is kept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 or employer]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</w:tbl>
    <w:bookmarkEnd w:id="24"/>
    <w:bookmarkEnd w:id="2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Access Agreement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agreeme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agreeme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