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change-request-form"/>
    <w:p>
      <w:pPr>
        <w:pStyle w:val="Heading1"/>
      </w:pPr>
      <w:r>
        <w:t xml:space="preserve">Change Request Form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https://kston83.github.io/nist-guide/templates/forms/change-request-form/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Change ID</w:t>
            </w:r>
          </w:p>
        </w:tc>
        <w:tc>
          <w:tcPr/>
          <w:p>
            <w:pPr>
              <w:pStyle w:val="Compact"/>
            </w:pPr>
            <w:r>
              <w:t xml:space="preserve">Change type</w:t>
            </w:r>
          </w:p>
        </w:tc>
        <w:tc>
          <w:tcPr/>
          <w:p>
            <w:pPr>
              <w:pStyle w:val="Compact"/>
            </w:pPr>
            <w:r>
              <w:t xml:space="preserve">Date prepared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change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standard, normal or emergency]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requested, analyzed, approved, disapproved, on hold, implemented, verified or closed]</w:t>
            </w:r>
          </w:p>
        </w:tc>
      </w:tr>
    </w:tbl>
    <w:bookmarkStart w:id="11" w:name="how-to-use-this-form"/>
    <w:p>
      <w:pPr>
        <w:pStyle w:val="Heading2"/>
      </w:pPr>
      <w:r>
        <w:t xml:space="preserve">1. How to use this form</w:t>
      </w:r>
    </w:p>
    <w:p>
      <w:pPr>
        <w:pStyle w:val="Compact"/>
        <w:numPr>
          <w:ilvl w:val="0"/>
          <w:numId w:val="1001"/>
        </w:numPr>
      </w:pPr>
      <w:r>
        <w:t xml:space="preserve">Use this form for every type of change the system’s Configuration Management Plan lists as configuration-controlled (CM-3a). A standard change cites the change request that approved its class, and needs only Part A and Part F.</w:t>
      </w:r>
    </w:p>
    <w:p>
      <w:pPr>
        <w:pStyle w:val="Compact"/>
        <w:numPr>
          <w:ilvl w:val="0"/>
          <w:numId w:val="1001"/>
        </w:numPr>
      </w:pPr>
      <w:r>
        <w:t xml:space="preserve">The analyst who completes Part B has security or privacy responsibilities and the skills to understand the change, and is not the person who will implement it. Part B is signed and dated before the decision in Part E (CM-4).</w:t>
      </w:r>
    </w:p>
    <w:p>
      <w:pPr>
        <w:pStyle w:val="Compact"/>
        <w:numPr>
          <w:ilvl w:val="0"/>
          <w:numId w:val="1001"/>
        </w:numPr>
      </w:pPr>
      <w:r>
        <w:t xml:space="preserve">For an emergency change, the person the Configuration Management Plan names may approve the change so work can start. Part B is completed as soon as practical, and the change control board reviews the change at its next meeting, recording that review in Part E (CM-3).</w:t>
      </w:r>
    </w:p>
    <w:p>
      <w:pPr>
        <w:pStyle w:val="Compact"/>
        <w:numPr>
          <w:ilvl w:val="0"/>
          <w:numId w:val="1001"/>
        </w:numPr>
      </w:pPr>
      <w:r>
        <w:t xml:space="preserve">Implement the change only after Part E records approval (CM-3d).</w:t>
      </w:r>
    </w:p>
    <w:p>
      <w:pPr>
        <w:pStyle w:val="Compact"/>
        <w:numPr>
          <w:ilvl w:val="0"/>
          <w:numId w:val="1001"/>
        </w:numPr>
      </w:pPr>
      <w:r>
        <w:t xml:space="preserve">Keep the completed form, with its attachments, for</w:t>
      </w:r>
      <w:r>
        <w:t xml:space="preserve"> </w:t>
      </w:r>
      <w:r>
        <w:rPr>
          <w:rStyle w:val="Fill-in"/>
        </w:rPr>
        <w:t xml:space="preserve">[Fill in: the time period to retain records of configuration-controlled changes. Typical: at least one year, or the life of the system if longer]</w:t>
      </w:r>
      <w:r>
        <w:t xml:space="preserve"> </w:t>
      </w:r>
      <w:r>
        <w:t xml:space="preserve">(CM-3e).</w:t>
      </w:r>
    </w:p>
    <w:p>
      <w:pPr>
        <w:pStyle w:val="Compact"/>
        <w:numPr>
          <w:ilvl w:val="0"/>
          <w:numId w:val="1001"/>
        </w:numPr>
      </w:pPr>
      <w:r>
        <w:rPr>
          <w:rStyle w:val="Fill-in"/>
        </w:rPr>
        <w:t xml:space="preserve">[Fill in: the configuration change control element responsible for coordinating and overseeing change control activities. Typical: a change control board with the system owner, technical leads and a security representative]</w:t>
      </w:r>
      <w:r>
        <w:t xml:space="preserve"> </w:t>
      </w:r>
      <w:r>
        <w:t xml:space="preserve">reviews the register at each meeting for changes waiting on a decision, emergency changes not yet reviewed, and approved changes not yet verified (CM-3f, CM-3g).</w:t>
      </w:r>
    </w:p>
    <w:bookmarkEnd w:id="11"/>
    <w:bookmarkStart w:id="12" w:name="part-a.-change-request"/>
    <w:p>
      <w:pPr>
        <w:pStyle w:val="Heading2"/>
      </w:pPr>
      <w:r>
        <w:t xml:space="preserve">Part A. Change request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Title of the change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short title]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Requested by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name, role and team]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Description of the change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what will change, including all additions, deletions and modifications]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Justification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why the change is needed, for example a business requirement, a vulnerability, an audit finding]</w:t>
            </w:r>
          </w:p>
        </w:tc>
      </w:tr>
      <w:tr>
        <w:tc>
          <w:tcPr/>
          <w:p>
            <w:pPr>
              <w:pStyle w:val="Compact"/>
            </w:pPr>
            <w:r>
              <w:t xml:space="preserve">Urgency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scheduled, urgent or emergency]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Configuration items and components to be changed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configuration item IDs from the Configuration Management Plan and component IDs from the component inventory]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components, configuration items or systems affected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dependencies, interfaces, and other systems and their owners]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People involved in making the change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names or roles]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Expected functional impact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what users or operations will notice, and any outage]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 of not making the change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risk or cost of not changing]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Interface or integration issues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known issues]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Changes required to other applications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changes, or none]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 plan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planned implementation date and window, deliverables, and the back-out plan]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 or funding required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resources, or none]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Supporting documents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attachments, for example the design, vendor release notes]</w:t>
            </w:r>
          </w:p>
        </w:tc>
      </w:tr>
    </w:tbl>
    <w:bookmarkEnd w:id="12"/>
    <w:bookmarkStart w:id="19" w:name="X041b76229c5e212c6e6c91bc4a4159d307ae811"/>
    <w:p>
      <w:pPr>
        <w:pStyle w:val="Heading2"/>
      </w:pPr>
      <w:r>
        <w:t xml:space="preserve">Part B. Security and privacy impact analysis</w:t>
      </w:r>
    </w:p>
    <w:bookmarkStart w:id="13" w:name="b1.-background"/>
    <w:p>
      <w:pPr>
        <w:pStyle w:val="Heading3"/>
      </w:pPr>
      <w:r>
        <w:t xml:space="preserve">B1. Background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Project type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new development, enhancement or maintenance]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Systems affected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categorization of the affected systems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Moderate]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Baseline changes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 the baseline configuration will change, for example a new image version or a new allowed port]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Planned start and completion of deployment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dates]</w:t>
            </w:r>
          </w:p>
        </w:tc>
      </w:tr>
    </w:tbl>
    <w:bookmarkEnd w:id="13"/>
    <w:bookmarkStart w:id="14" w:name="b2.-change-type"/>
    <w:p>
      <w:pPr>
        <w:pStyle w:val="Heading3"/>
      </w:pPr>
      <w:r>
        <w:t xml:space="preserve">B2. Change type</w:t>
      </w:r>
    </w:p>
    <w:p>
      <w:pPr>
        <w:pStyle w:val="FirstParagraph"/>
      </w:pPr>
      <w:r>
        <w:t xml:space="preserve">Mark each type that applies; more than one may apply.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Change type</w:t>
            </w:r>
          </w:p>
        </w:tc>
        <w:tc>
          <w:tcPr/>
          <w:p>
            <w:pPr>
              <w:pStyle w:val="Compact"/>
            </w:pPr>
            <w:r>
              <w:t xml:space="preserve">Applies (X)</w:t>
            </w:r>
          </w:p>
        </w:tc>
        <w:tc>
          <w:tcPr/>
          <w:p>
            <w:pPr>
              <w:pStyle w:val="Compact"/>
            </w:pPr>
            <w:r>
              <w:t xml:space="preserve">Explanation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network device, such as a router, switch, firewall or VPN gateway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New server, virtual machine, container image or cloud compute resource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New end-user device type, such as desktops, laptops or mobile devices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Other new hardware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Decommissioning of existing hardware or resources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New operating system, or upgrade of an existing one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New commercial or open-source software, or an upgrade or patch of 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New custom application, or an upgrade or fix of one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New database management system, database instance, or change to an existing one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New or upgraded middleware or service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New cloud service, or a change to a cloud service’s settings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Change to infrastructure-as-code definitions or the deployment pipeline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Change to ports, protocols or services used or provided by the system (CM-7)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Change to security functions, such as cryptographic modules, authentication, authorization, roles, logging or security patches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New information type processed, stored or transmitted, or new personal information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Interface or interconnection added, changed or removed (CA-3)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Change of location or hosting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Other change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b3.-components-affected"/>
    <w:p>
      <w:pPr>
        <w:pStyle w:val="Heading3"/>
      </w:pPr>
      <w:r>
        <w:t xml:space="preserve">B3. Components affected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 ID (component inventory)</w:t>
            </w:r>
          </w:p>
        </w:tc>
        <w:tc>
          <w:tcPr/>
          <w:p>
            <w:pPr>
              <w:pStyle w:val="Compact"/>
            </w:pPr>
            <w:r>
              <w:t xml:space="preserve">Component name</w:t>
            </w:r>
          </w:p>
        </w:tc>
        <w:tc>
          <w:tcPr/>
          <w:p>
            <w:pPr>
              <w:pStyle w:val="Compact"/>
            </w:pPr>
            <w:r>
              <w:t xml:space="preserve">Network address</w:t>
            </w:r>
          </w:p>
        </w:tc>
        <w:tc>
          <w:tcPr/>
          <w:p>
            <w:pPr>
              <w:pStyle w:val="Compact"/>
            </w:pPr>
            <w:r>
              <w:t xml:space="preserve">Manufacturer and model</w:t>
            </w:r>
          </w:p>
        </w:tc>
        <w:tc>
          <w:tcPr/>
          <w:p>
            <w:pPr>
              <w:pStyle w:val="Compact"/>
            </w:pPr>
            <w:r>
              <w:t xml:space="preserve">Serial number or asset tag</w:t>
            </w:r>
          </w:p>
        </w:tc>
        <w:tc>
          <w:tcPr/>
          <w:p>
            <w:pPr>
              <w:pStyle w:val="Compact"/>
            </w:pPr>
            <w:r>
              <w:t xml:space="preserve">Operating system and version</w:t>
            </w:r>
          </w:p>
        </w:tc>
        <w:tc>
          <w:tcPr/>
          <w:p>
            <w:pPr>
              <w:pStyle w:val="Compact"/>
            </w:pPr>
            <w:r>
              <w:t xml:space="preserve">Software affected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address]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manufacturer and model]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serial or tag]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OS and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software and versions]</w:t>
            </w:r>
          </w:p>
        </w:tc>
      </w:tr>
    </w:tbl>
    <w:bookmarkEnd w:id="15"/>
    <w:bookmarkStart w:id="16" w:name="b4.-analysis"/>
    <w:p>
      <w:pPr>
        <w:pStyle w:val="Heading3"/>
      </w:pPr>
      <w:r>
        <w:t xml:space="preserve">B4. Analysis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Findings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 Understand the change: how it will be built and deployed, with a high-level architecture overview where useful. For a change already made, what the audit records and the people who made it show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summary]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 Identify vulnerabilities: known vulnerabilities in products being added, for example from the National Vulnerability Database or the vendor’s advisories; for custom code, the results of code review or testing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vulnerabilities found, or none, with the sources checked]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 Assess risks: the likelihood and impact of each vulnerability being exploited, and whether to accept, avoid or reduce the risk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risk rating and response]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 Assess the impact on existing controls: controls the change alters, settings or baselines it changes, and other components or systems that depend on what is changing, including supply chain partners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controls affected, by control ID, and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 Plan safeguards and countermeasures: changes to the request, or controls to add, where the risk is not acceptable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safeguards, or none needed]</w:t>
            </w:r>
          </w:p>
        </w:tc>
      </w:tr>
    </w:tbl>
    <w:bookmarkEnd w:id="16"/>
    <w:bookmarkStart w:id="17" w:name="b5.-privacy"/>
    <w:p>
      <w:pPr>
        <w:pStyle w:val="Heading3"/>
      </w:pPr>
      <w:r>
        <w:t xml:space="preserve">B5. Privacy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the change add, remove or alter personal information the system processes, or how it is processed or shared?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no, and how]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the privacy impact assessment or a system of records notice need updating?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no; reference to the update]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 reviewer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name, role and date, or not applicable]</w:t>
            </w:r>
          </w:p>
        </w:tc>
      </w:tr>
    </w:tbl>
    <w:bookmarkEnd w:id="17"/>
    <w:bookmarkStart w:id="18" w:name="b6.-analyst-sign-off"/>
    <w:p>
      <w:pPr>
        <w:pStyle w:val="Heading3"/>
      </w:pPr>
      <w:r>
        <w:t xml:space="preserve">B6. Analyst sign-off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Analyst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Date completed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 with security or privacy responsibilities]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date, which is before the decision date in Part E]</w:t>
            </w:r>
          </w:p>
        </w:tc>
      </w:tr>
    </w:tbl>
    <w:bookmarkEnd w:id="18"/>
    <w:bookmarkEnd w:id="19"/>
    <w:bookmarkStart w:id="20" w:name="part-c.-significant-change-decision"/>
    <w:p>
      <w:pPr>
        <w:pStyle w:val="Heading2"/>
      </w:pPr>
      <w:r>
        <w:t xml:space="preserve">Part C. Significant change decision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 this a significant change under section 12 of the system’s Continuous Monitoring Strategy?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Reason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criterion it meets, or why it meets none]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Decided by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name, role and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If yes: date the authorizing official was told, and how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and method]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If yes: the authorizing official’s decision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proceed with a targeted assessment of the affected controls, reauthorize, or proceed and accept the risk; name and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If yes: system security plan, privacy plan and continuous monitoring strategy updates needed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documents and sections]</w:t>
            </w:r>
          </w:p>
        </w:tc>
      </w:tr>
    </w:tbl>
    <w:bookmarkEnd w:id="20"/>
    <w:bookmarkStart w:id="21" w:name="part-d.-testing"/>
    <w:p>
      <w:pPr>
        <w:pStyle w:val="Heading2"/>
      </w:pPr>
      <w:r>
        <w:t xml:space="preserve">Part D. Testing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environment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environment, and how it is separated from production]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Tests performed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tests run against the change, functional and security, such as a compliance scan and a vulnerability scan of the changed component]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Results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results for each test, or a reference to the test record]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Tested and validated by, and date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date]</w:t>
            </w:r>
          </w:p>
        </w:tc>
      </w:tr>
    </w:tbl>
    <w:p>
      <w:pPr>
        <w:pStyle w:val="BodyText"/>
      </w:pPr>
      <w:r>
        <w:t xml:space="preserve">The change is tested, validated and documented before its implementation is finalized (CM-3(2)).</w:t>
      </w:r>
    </w:p>
    <w:bookmarkEnd w:id="21"/>
    <w:bookmarkStart w:id="22" w:name="part-e.-decision"/>
    <w:p>
      <w:pPr>
        <w:pStyle w:val="Heading2"/>
      </w:pPr>
      <w:r>
        <w:t xml:space="preserve">Part E. Decision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approved, approved with conditions, disapproved, or on hold]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Conditions or further action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conditions, such as added safeguards; or, if disapproved, the reason and what would change the decision]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Decided by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change control board, with the meeting date, or the emergency approver]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representative present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Emergency change reviewed by the board 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date, or not applicable]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Approver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role]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2"/>
    <w:bookmarkStart w:id="25" w:name="X41346c1e5c7b32fd273a553774421e165b34977"/>
    <w:p>
      <w:pPr>
        <w:pStyle w:val="Heading2"/>
      </w:pPr>
      <w:r>
        <w:t xml:space="preserve">Part F. Implementation, verification and closure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Implemented by, date and time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name, date and time]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 result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successful, partially successful, or backed out, with details]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 verified after the change, by whom and how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compliance and vulnerability scans compared with the results before the change, and a test of the affected controls]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Verification result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affected controls are implemented correctly, operating as intended and producing the desired outcome, or what was found]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Documents updated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baseline configuration, component inventory, system security plan, configuration item list, diagrams, plan of action and milestones, or none]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Stakeholders notified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who was told, for example users and the service desk]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Closed by and date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date]</w:t>
            </w:r>
          </w:p>
        </w:tc>
      </w:tr>
    </w:tbl>
    <w:bookmarkStart w:id="24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hyperlink r:id="rId23">
        <w:r>
          <w:rPr>
            <w:rStyle w:val="Hyperlink"/>
          </w:rPr>
          <w:t xml:space="preserve">OMB Circular A-130</w:t>
        </w:r>
      </w:hyperlink>
      <w:r>
        <w:t xml:space="preserve">, Appendix I, section 5.i, defines a significant change as</w:t>
      </w:r>
      <w:r>
        <w:t xml:space="preserve"> </w:t>
      </w:r>
      <w:r>
        <w:t xml:space="preserve">“a change that is likely to affect the security or privacy state of an information system,”</w:t>
      </w:r>
      <w:r>
        <w:t xml:space="preserve"> </w:t>
      </w:r>
      <w:r>
        <w:t xml:space="preserve">and says that under ongoing authorization, reauthorization is typically an event-driven action in response to an event or significant change that raises security or privacy risk above the agency’s risk tolerance, and may be a complete or a targeted review. Section 5.a says systems undergoing significant changes are expected to meet NIST standards and guidelines immediately on deployment. As of October 2026.</w:t>
      </w:r>
    </w:p>
    <w:p>
      <w:pPr>
        <w:pStyle w:val="Compact"/>
        <w:numPr>
          <w:ilvl w:val="0"/>
          <w:numId w:val="1002"/>
        </w:numPr>
      </w:pPr>
      <w:r>
        <w:t xml:space="preserve">The Part C decision shall use the OMB Circular A-130 definition of a significant change, and each significant change shall be reported to the authorizing official before it is implemented, or, for an emergency change, as soon as it is made. (CM-4)</w:t>
      </w:r>
    </w:p>
    <w:p>
      <w:pPr>
        <w:pStyle w:val="Compact"/>
        <w:numPr>
          <w:ilvl w:val="0"/>
          <w:numId w:val="1002"/>
        </w:numPr>
      </w:pPr>
      <w:r>
        <w:t xml:space="preserve">A significant change shall be deployed meeting the current versions of the NIST standards and guidelines that apply to it, as OMB Circular A-130, Appendix I, section 5.a, expects. (CM-3)</w:t>
      </w:r>
    </w:p>
    <w:bookmarkEnd w:id="24"/>
    <w:bookmarkEnd w:id="25"/>
    <w:bookmarkStart w:id="26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Change ID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Requested by and date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Configuration items affected</w:t>
            </w:r>
          </w:p>
        </w:tc>
        <w:tc>
          <w:tcPr/>
          <w:p>
            <w:pPr>
              <w:pStyle w:val="Compact"/>
            </w:pPr>
            <w:r>
              <w:t xml:space="preserve">Impact analysis by and date</w:t>
            </w:r>
          </w:p>
        </w:tc>
        <w:tc>
          <w:tcPr/>
          <w:p>
            <w:pPr>
              <w:pStyle w:val="Compact"/>
            </w:pPr>
            <w:r>
              <w:t xml:space="preserve">Security and privacy impact</w:t>
            </w:r>
          </w:p>
        </w:tc>
        <w:tc>
          <w:tcPr/>
          <w:p>
            <w:pPr>
              <w:pStyle w:val="Compact"/>
            </w:pPr>
            <w:r>
              <w:t xml:space="preserve">Significant change; authorizing official told</w:t>
            </w:r>
          </w:p>
        </w:tc>
        <w:tc>
          <w:tcPr/>
          <w:p>
            <w:pPr>
              <w:pStyle w:val="Compact"/>
            </w:pPr>
            <w:r>
              <w:t xml:space="preserve">Test result</w:t>
            </w:r>
          </w:p>
        </w:tc>
        <w:tc>
          <w:tcPr/>
          <w:p>
            <w:pPr>
              <w:pStyle w:val="Compact"/>
            </w:pPr>
            <w:r>
              <w:t xml:space="preserve">Decision, by and date</w:t>
            </w:r>
          </w:p>
        </w:tc>
        <w:tc>
          <w:tcPr/>
          <w:p>
            <w:pPr>
              <w:pStyle w:val="Compact"/>
            </w:pPr>
            <w:r>
              <w:t xml:space="preserve">Implemented by and date</w:t>
            </w:r>
          </w:p>
        </w:tc>
        <w:tc>
          <w:tcPr/>
          <w:p>
            <w:pPr>
              <w:pStyle w:val="Compact"/>
            </w:pPr>
            <w:r>
              <w:t xml:space="preserve">Verification result</w:t>
            </w:r>
          </w:p>
        </w:tc>
        <w:tc>
          <w:tcPr/>
          <w:p>
            <w:pPr>
              <w:pStyle w:val="Compact"/>
            </w:pPr>
            <w:r>
              <w:t xml:space="preserve">Closed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standard, normal or emergency]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CI IDs]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analyst and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summary and risk rating]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no; or yes, with the date told]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pass or fail, with reference]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decision, board or approver,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result]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6"/>
    <w:bookmarkEnd w:id="27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Change Request Form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change-request-form/" TargetMode="External" /><Relationship Type="http://schemas.openxmlformats.org/officeDocument/2006/relationships/hyperlink" Id="rId23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change-request-form/" TargetMode="External" /><Relationship Type="http://schemas.openxmlformats.org/officeDocument/2006/relationships/hyperlink" Id="rId23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