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information-exchange-agreement"/>
    <w:p>
      <w:pPr>
        <w:pStyle w:val="Heading1"/>
      </w:pPr>
      <w:r>
        <w:t xml:space="preserve">Information Exchange Agreement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https://kston83.github.io/nist-guide/templates/forms/information-exchange-agreement/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Agreement ID</w:t>
            </w:r>
          </w:p>
        </w:tc>
        <w:tc>
          <w:tcPr/>
          <w:p>
            <w:pPr>
              <w:pStyle w:val="Compact"/>
            </w:pPr>
            <w:r>
              <w:t xml:space="preserve">Agreement type</w:t>
            </w:r>
          </w:p>
        </w:tc>
        <w:tc>
          <w:tcPr/>
          <w:p>
            <w:pPr>
              <w:pStyle w:val="Compact"/>
            </w:pPr>
            <w:r>
              <w:t xml:space="preserve">Version</w:t>
            </w:r>
          </w:p>
        </w:tc>
        <w:tc>
          <w:tcPr/>
          <w:p>
            <w:pPr>
              <w:pStyle w:val="Compact"/>
            </w:pPr>
            <w:r>
              <w:t xml:space="preserve">Effective date</w:t>
            </w:r>
          </w:p>
        </w:tc>
        <w:tc>
          <w:tcPr/>
          <w:p>
            <w:pPr>
              <w:pStyle w:val="Compact"/>
            </w:pPr>
            <w:r>
              <w:t xml:space="preserve">Next review due</w:t>
            </w:r>
          </w:p>
        </w:tc>
      </w:tr>
      <w:tr>
        <w:tc>
          <w:tcPr/>
          <w:p>
            <w:pPr>
              <w:pStyle w:val="Compact"/>
            </w:pPr>
            <w:r>
              <w:rPr>
                <w:rStyle w:val="Fill-in"/>
              </w:rPr>
              <w:t xml:space="preserve">[Fill in: unique ID, as in the register]</w:t>
            </w:r>
          </w:p>
        </w:tc>
        <w:tc>
          <w:tcPr/>
          <w:p>
            <w:pPr>
              <w:pStyle w:val="Compact"/>
            </w:pPr>
            <w:r>
              <w:rPr>
                <w:rStyle w:val="Fill-in"/>
              </w:rPr>
              <w:t xml:space="preserve">[Fill in: interconnection security agreement or information exchange agreement]</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date]</w:t>
            </w:r>
          </w:p>
        </w:tc>
      </w:tr>
    </w:tbl>
    <w:bookmarkStart w:id="11" w:name="parties-and-purpose"/>
    <w:p>
      <w:pPr>
        <w:pStyle w:val="Heading2"/>
      </w:pPr>
      <w:r>
        <w:t xml:space="preserve">1. Parties and purpose</w:t>
      </w:r>
    </w:p>
    <w:p>
      <w:pPr>
        <w:pStyle w:val="FirstParagraph"/>
      </w:pPr>
      <w:r>
        <w:t xml:space="preserve">This agreement sets the terms, conditions and safeguards under which</w:t>
      </w:r>
      <w:r>
        <w:t xml:space="preserve"> </w:t>
      </w:r>
      <w:r>
        <w:rPr>
          <w:rStyle w:val="Fill-in"/>
        </w:rPr>
        <w:t xml:space="preserve">[Organization name]</w:t>
      </w:r>
      <w:r>
        <w:t xml:space="preserve"> </w:t>
      </w:r>
      <w:r>
        <w:t xml:space="preserve">and</w:t>
      </w:r>
      <w:r>
        <w:t xml:space="preserve"> </w:t>
      </w:r>
      <w:r>
        <w:rPr>
          <w:rStyle w:val="Fill-in"/>
        </w:rPr>
        <w:t xml:space="preserve">[Fill in: the other organization]</w:t>
      </w:r>
      <w:r>
        <w:t xml:space="preserve"> </w:t>
      </w:r>
      <w:r>
        <w:t xml:space="preserve">exchange the information described in section 2. It is one of the agreements</w:t>
      </w:r>
      <w:r>
        <w:t xml:space="preserve"> </w:t>
      </w:r>
      <w:r>
        <w:rPr>
          <w:rStyle w:val="Fill-in"/>
        </w:rPr>
        <w:t xml:space="preserve">[Organization name]</w:t>
      </w:r>
      <w:r>
        <w:t xml:space="preserve"> </w:t>
      </w:r>
      <w:r>
        <w:t xml:space="preserve">uses to approve and manage information exchanges, which are</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w:t>
      </w:r>
      <w:r>
        <w:t xml:space="preserve">(CA-3a).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Business purpose</w:t>
            </w:r>
          </w:p>
        </w:tc>
        <w:tc>
          <w:tcPr/>
          <w:p>
            <w:pPr>
              <w:pStyle w:val="Compact"/>
            </w:pPr>
            <w:r>
              <w:rPr>
                <w:rStyle w:val="Fill-in"/>
              </w:rPr>
              <w:t xml:space="preserve">[Fill in: why the exchange is needed and the benefit expected]</w:t>
            </w:r>
          </w:p>
        </w:tc>
      </w:tr>
      <w:tr>
        <w:tc>
          <w:tcPr/>
          <w:p>
            <w:pPr>
              <w:pStyle w:val="Compact"/>
            </w:pPr>
            <w:r>
              <w:t xml:space="preserve">Authority</w:t>
            </w:r>
          </w:p>
        </w:tc>
        <w:tc>
          <w:tcPr/>
          <w:p>
            <w:pPr>
              <w:pStyle w:val="Compact"/>
            </w:pPr>
            <w:r>
              <w:rPr>
                <w:rStyle w:val="Fill-in"/>
              </w:rPr>
              <w:t xml:space="preserve">[Fill in: the law, contract, policy or decision that authorizes the exchange]</w:t>
            </w:r>
          </w:p>
        </w:tc>
      </w:tr>
      <w:tr>
        <w:tc>
          <w:tcPr/>
          <w:p>
            <w:pPr>
              <w:pStyle w:val="Compact"/>
            </w:pPr>
            <w:r>
              <w:t xml:space="preserve">Related agreements</w:t>
            </w:r>
          </w:p>
        </w:tc>
        <w:tc>
          <w:tcPr/>
          <w:p>
            <w:pPr>
              <w:pStyle w:val="Compact"/>
            </w:pPr>
            <w:r>
              <w:rPr>
                <w:rStyle w:val="Fill-in"/>
              </w:rPr>
              <w:t xml:space="preserve">[Fill in: for example a memorandum of understanding, contract, service level agreement or nondisclosure agreement, with dates]</w:t>
            </w:r>
          </w:p>
        </w:tc>
      </w:tr>
      <w:tr>
        <w:tc>
          <w:tcPr/>
          <w:p>
            <w:pPr>
              <w:pStyle w:val="Compact"/>
            </w:pPr>
            <w:r>
              <w:t xml:space="preserve">Supersedes</w:t>
            </w:r>
          </w:p>
        </w:tc>
        <w:tc>
          <w:tcPr/>
          <w:p>
            <w:pPr>
              <w:pStyle w:val="Compact"/>
            </w:pPr>
            <w:r>
              <w:rPr>
                <w:rStyle w:val="Fill-in"/>
              </w:rPr>
              <w:t xml:space="preserve">[Fill in: the earlier agreement this replaces, with its date, or</w:t>
            </w:r>
            <w:r>
              <w:rPr>
                <w:rStyle w:val="Fill-in"/>
              </w:rPr>
              <w:t xml:space="preserve"> </w:t>
            </w:r>
            <w:r>
              <w:rPr>
                <w:rStyle w:val="Fill-in"/>
              </w:rPr>
              <w:t xml:space="preserve">“none”</w:t>
            </w:r>
            <w:r>
              <w:rPr>
                <w:rStyle w:val="Fill-in"/>
              </w:rPr>
              <w:t xml:space="preserve">]</w:t>
            </w:r>
          </w:p>
        </w:tc>
      </w:tr>
    </w:tbl>
    <w:bookmarkEnd w:id="11"/>
    <w:bookmarkStart w:id="12" w:name="systems-and-information-exchanged"/>
    <w:p>
      <w:pPr>
        <w:pStyle w:val="Heading2"/>
      </w:pPr>
      <w:r>
        <w:t xml:space="preserve">2. Systems and information exchanged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Item</w:t>
            </w:r>
          </w:p>
        </w:tc>
        <w:tc>
          <w:tcPr/>
          <w:p>
            <w:pPr>
              <w:pStyle w:val="Compact"/>
            </w:pPr>
            <w:r>
              <w:rPr>
                <w:rStyle w:val="Fill-in"/>
              </w:rPr>
              <w:t xml:space="preserve">[Organization name]</w:t>
            </w:r>
            <w:r>
              <w:t xml:space="preserve"> </w:t>
            </w:r>
            <w:r>
              <w:t xml:space="preserve">system</w:t>
            </w:r>
          </w:p>
        </w:tc>
        <w:tc>
          <w:tcPr/>
          <w:p>
            <w:pPr>
              <w:pStyle w:val="Compact"/>
            </w:pPr>
            <w:r>
              <w:t xml:space="preserve">Other party’s system</w:t>
            </w:r>
          </w:p>
        </w:tc>
      </w:tr>
      <w:tr>
        <w:tc>
          <w:tcPr/>
          <w:p>
            <w:pPr>
              <w:pStyle w:val="Compact"/>
            </w:pPr>
            <w:r>
              <w:t xml:space="preserve">System name and identifier</w:t>
            </w:r>
          </w:p>
        </w:tc>
        <w:tc>
          <w:tcPr/>
          <w:p>
            <w:pPr>
              <w:pStyle w:val="Compact"/>
            </w:pPr>
            <w:r>
              <w:rPr>
                <w:rStyle w:val="Fill-in"/>
              </w:rPr>
              <w:t xml:space="preserve">[Fill in: name and identifier]</w:t>
            </w:r>
          </w:p>
        </w:tc>
        <w:tc>
          <w:tcPr/>
          <w:p>
            <w:pPr>
              <w:pStyle w:val="Compact"/>
            </w:pPr>
            <w:r>
              <w:rPr>
                <w:rStyle w:val="Fill-in"/>
              </w:rPr>
              <w:t xml:space="preserve">[Fill in: name and identifier]</w:t>
            </w:r>
          </w:p>
        </w:tc>
      </w:tr>
      <w:tr>
        <w:tc>
          <w:tcPr/>
          <w:p>
            <w:pPr>
              <w:pStyle w:val="Compact"/>
            </w:pPr>
            <w:r>
              <w:t xml:space="preserve">Owning organization</w:t>
            </w:r>
          </w:p>
        </w:tc>
        <w:tc>
          <w:tcPr/>
          <w:p>
            <w:pPr>
              <w:pStyle w:val="Compact"/>
            </w:pPr>
            <w:r>
              <w:rPr>
                <w:rStyle w:val="Fill-in"/>
              </w:rPr>
              <w:t xml:space="preserve">[Organization name]</w:t>
            </w:r>
          </w:p>
        </w:tc>
        <w:tc>
          <w:tcPr/>
          <w:p>
            <w:pPr>
              <w:pStyle w:val="Compact"/>
            </w:pPr>
            <w:r>
              <w:rPr>
                <w:rStyle w:val="Fill-in"/>
              </w:rPr>
              <w:t xml:space="preserve">[Fill in: organization]</w:t>
            </w:r>
          </w:p>
        </w:tc>
      </w:tr>
      <w:tr>
        <w:tc>
          <w:tcPr/>
          <w:p>
            <w:pPr>
              <w:pStyle w:val="Compact"/>
            </w:pPr>
            <w:r>
              <w:t xml:space="preserve">Authorizing official</w:t>
            </w:r>
          </w:p>
        </w:tc>
        <w:tc>
          <w:tcPr/>
          <w:p>
            <w:pPr>
              <w:pStyle w:val="Compact"/>
            </w:pPr>
            <w:r>
              <w:rPr>
                <w:rStyle w:val="Fill-in"/>
              </w:rPr>
              <w:t xml:space="preserve">[Fill in: name and title]</w:t>
            </w:r>
          </w:p>
        </w:tc>
        <w:tc>
          <w:tcPr/>
          <w:p>
            <w:pPr>
              <w:pStyle w:val="Compact"/>
            </w:pPr>
            <w:r>
              <w:rPr>
                <w:rStyle w:val="Fill-in"/>
              </w:rPr>
              <w:t xml:space="preserve">[Fill in: name and title]</w:t>
            </w:r>
          </w:p>
        </w:tc>
      </w:tr>
      <w:tr>
        <w:tc>
          <w:tcPr/>
          <w:p>
            <w:pPr>
              <w:pStyle w:val="Compact"/>
            </w:pPr>
            <w:r>
              <w:t xml:space="preserve">Security categorization</w:t>
            </w:r>
          </w:p>
        </w:tc>
        <w:tc>
          <w:tcPr/>
          <w:p>
            <w:pPr>
              <w:pStyle w:val="Compact"/>
            </w:pPr>
            <w:r>
              <w:rPr>
                <w:rStyle w:val="Fill-in"/>
              </w:rPr>
              <w:t xml:space="preserve">[Fill in: low, moderate or high]</w:t>
            </w:r>
          </w:p>
        </w:tc>
        <w:tc>
          <w:tcPr/>
          <w:p>
            <w:pPr>
              <w:pStyle w:val="Compact"/>
            </w:pPr>
            <w:r>
              <w:rPr>
                <w:rStyle w:val="Fill-in"/>
              </w:rPr>
              <w:t xml:space="preserve">[Fill in: low, moderate or high]</w:t>
            </w:r>
          </w:p>
        </w:tc>
      </w:tr>
      <w:tr>
        <w:tc>
          <w:tcPr/>
          <w:p>
            <w:pPr>
              <w:pStyle w:val="Compact"/>
            </w:pPr>
            <w:r>
              <w:t xml:space="preserve">Location</w:t>
            </w:r>
          </w:p>
        </w:tc>
        <w:tc>
          <w:tcPr/>
          <w:p>
            <w:pPr>
              <w:pStyle w:val="Compact"/>
            </w:pPr>
            <w:r>
              <w:rPr>
                <w:rStyle w:val="Fill-in"/>
              </w:rPr>
              <w:t xml:space="preserve">[Fill in: site or cloud region]</w:t>
            </w:r>
          </w:p>
        </w:tc>
        <w:tc>
          <w:tcPr/>
          <w:p>
            <w:pPr>
              <w:pStyle w:val="Compact"/>
            </w:pPr>
            <w:r>
              <w:rPr>
                <w:rStyle w:val="Fill-in"/>
              </w:rPr>
              <w:t xml:space="preserve">[Fill in: site or cloud region]</w:t>
            </w:r>
          </w:p>
        </w:tc>
      </w:tr>
    </w:tbl>
    <w:p>
      <w:pPr>
        <w:pStyle w:val="BodyText"/>
      </w:pPr>
      <w:r>
        <w:t xml:space="preserve">The interface and the information communicated (CA-3b):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Information types and impact level</w:t>
            </w:r>
          </w:p>
        </w:tc>
        <w:tc>
          <w:tcPr/>
          <w:p>
            <w:pPr>
              <w:pStyle w:val="Compact"/>
            </w:pPr>
            <w:r>
              <w:rPr>
                <w:rStyle w:val="Fill-in"/>
              </w:rPr>
              <w:t xml:space="preserve">[Fill in: each type of information exchanged, with its impact level, and whether it includes personally identifiable information]</w:t>
            </w:r>
          </w:p>
        </w:tc>
      </w:tr>
      <w:tr>
        <w:tc>
          <w:tcPr/>
          <w:p>
            <w:pPr>
              <w:pStyle w:val="Compact"/>
            </w:pPr>
            <w:r>
              <w:t xml:space="preserve">Direction</w:t>
            </w:r>
          </w:p>
        </w:tc>
        <w:tc>
          <w:tcPr/>
          <w:p>
            <w:pPr>
              <w:pStyle w:val="Compact"/>
            </w:pPr>
            <w:r>
              <w:rPr>
                <w:rStyle w:val="Fill-in"/>
              </w:rPr>
              <w:t xml:space="preserve">[Fill in: one-way from which system, or two-way]</w:t>
            </w:r>
          </w:p>
        </w:tc>
      </w:tr>
      <w:tr>
        <w:tc>
          <w:tcPr/>
          <w:p>
            <w:pPr>
              <w:pStyle w:val="Compact"/>
            </w:pPr>
            <w:r>
              <w:t xml:space="preserve">Method</w:t>
            </w:r>
          </w:p>
        </w:tc>
        <w:tc>
          <w:tcPr/>
          <w:p>
            <w:pPr>
              <w:pStyle w:val="Compact"/>
            </w:pPr>
            <w:r>
              <w:rPr>
                <w:rStyle w:val="Fill-in"/>
              </w:rPr>
              <w:t xml:space="preserve">[Fill in: system interconnection, application programming interface or web service, database access, file transfer, email, or portable media]</w:t>
            </w:r>
          </w:p>
        </w:tc>
      </w:tr>
      <w:tr>
        <w:tc>
          <w:tcPr/>
          <w:p>
            <w:pPr>
              <w:pStyle w:val="Compact"/>
            </w:pPr>
            <w:r>
              <w:t xml:space="preserve">Frequency and volume</w:t>
            </w:r>
          </w:p>
        </w:tc>
        <w:tc>
          <w:tcPr/>
          <w:p>
            <w:pPr>
              <w:pStyle w:val="Compact"/>
            </w:pPr>
            <w:r>
              <w:rPr>
                <w:rStyle w:val="Fill-in"/>
              </w:rPr>
              <w:t xml:space="preserve">[Fill in: for example a nightly batch with its typical size, or continuous]</w:t>
            </w:r>
          </w:p>
        </w:tc>
      </w:tr>
      <w:tr>
        <w:tc>
          <w:tcPr/>
          <w:p>
            <w:pPr>
              <w:pStyle w:val="Compact"/>
            </w:pPr>
            <w:r>
              <w:t xml:space="preserve">Users</w:t>
            </w:r>
          </w:p>
        </w:tc>
        <w:tc>
          <w:tcPr/>
          <w:p>
            <w:pPr>
              <w:pStyle w:val="Compact"/>
            </w:pPr>
            <w:r>
              <w:rPr>
                <w:rStyle w:val="Fill-in"/>
              </w:rPr>
              <w:t xml:space="preserve">[Fill in: who on each side can access the exchanged information, and any screening required]</w:t>
            </w:r>
          </w:p>
        </w:tc>
      </w:tr>
    </w:tbl>
    <w:bookmarkEnd w:id="12"/>
    <w:bookmarkStart w:id="13" w:name="use-of-the-information"/>
    <w:p>
      <w:pPr>
        <w:pStyle w:val="Heading2"/>
      </w:pPr>
      <w:r>
        <w:t xml:space="preserve">3. Use of the information</w:t>
      </w:r>
    </w:p>
    <w:p>
      <w:pPr>
        <w:pStyle w:val="Compact"/>
        <w:numPr>
          <w:ilvl w:val="0"/>
          <w:numId w:val="1001"/>
        </w:numPr>
      </w:pPr>
      <w:r>
        <w:t xml:space="preserve">The receiving party uses the information only for the purpose in section 1, and only as that purpose requires.</w:t>
      </w:r>
    </w:p>
    <w:p>
      <w:pPr>
        <w:pStyle w:val="Compact"/>
        <w:numPr>
          <w:ilvl w:val="0"/>
          <w:numId w:val="1001"/>
        </w:numPr>
      </w:pPr>
      <w:r>
        <w:t xml:space="preserve">The receiving party does not disclose the information to anyone not party to this agreement without the providing party’s written consent, unless a law requires it.</w:t>
      </w:r>
      <w:r>
        <w:t xml:space="preserve"> </w:t>
      </w:r>
      <w:r>
        <w:rPr>
          <w:rStyle w:val="Fill-in"/>
        </w:rPr>
        <w:t xml:space="preserve">[Fill in: any further limits, for example no transfer outside the country]</w:t>
      </w:r>
    </w:p>
    <w:p>
      <w:pPr>
        <w:pStyle w:val="Compact"/>
        <w:numPr>
          <w:ilvl w:val="0"/>
          <w:numId w:val="1001"/>
        </w:numPr>
      </w:pPr>
      <w:r>
        <w:t xml:space="preserve">Access is limited to the receiving party’s employees, contractors and agents who need the information for the stated purpose, and who have signed an access agreement or equivalent user agreement.</w:t>
      </w:r>
    </w:p>
    <w:p>
      <w:pPr>
        <w:pStyle w:val="Compact"/>
        <w:numPr>
          <w:ilvl w:val="0"/>
          <w:numId w:val="1001"/>
        </w:numPr>
      </w:pPr>
      <w:r>
        <w:t xml:space="preserve">The receiving party keeps the information for</w:t>
      </w:r>
      <w:r>
        <w:t xml:space="preserve"> </w:t>
      </w:r>
      <w:r>
        <w:rPr>
          <w:rStyle w:val="Fill-in"/>
        </w:rPr>
        <w:t xml:space="preserve">[Fill in: retention period or rule]</w:t>
      </w:r>
      <w:r>
        <w:t xml:space="preserve">, then returns or destroys it as the providing party directs, and confirms the destruction in writing.</w:t>
      </w:r>
    </w:p>
    <w:bookmarkEnd w:id="13"/>
    <w:bookmarkStart w:id="14" w:name="security-and-privacy-requirements"/>
    <w:p>
      <w:pPr>
        <w:pStyle w:val="Heading2"/>
      </w:pPr>
      <w:r>
        <w:t xml:space="preserve">4. Security and privacy requirements</w:t>
      </w:r>
    </w:p>
    <w:p>
      <w:pPr>
        <w:pStyle w:val="FirstParagraph"/>
      </w:pPr>
      <w:r>
        <w:t xml:space="preserve">Each party protects the exchanged information, and the systems that process, store or transmit it, according to its impact level (CA-3b).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Commitment</w:t>
            </w:r>
          </w:p>
        </w:tc>
      </w:tr>
      <w:tr>
        <w:tc>
          <w:tcPr/>
          <w:p>
            <w:pPr>
              <w:pStyle w:val="Compact"/>
            </w:pPr>
            <w:r>
              <w:t xml:space="preserve">Governing policies and baseline</w:t>
            </w:r>
          </w:p>
        </w:tc>
        <w:tc>
          <w:tcPr/>
          <w:p>
            <w:pPr>
              <w:pStyle w:val="Compact"/>
            </w:pPr>
            <w:r>
              <w:rPr>
                <w:rStyle w:val="Fill-in"/>
              </w:rPr>
              <w:t xml:space="preserve">[Fill in: each party’s governing security and privacy policies, and the control baseline each system meets, for example the SP 800-53B Moderate baseline]</w:t>
            </w:r>
          </w:p>
        </w:tc>
      </w:tr>
      <w:tr>
        <w:tc>
          <w:tcPr/>
          <w:p>
            <w:pPr>
              <w:pStyle w:val="Compact"/>
            </w:pPr>
            <w:r>
              <w:t xml:space="preserve">Protection in transit</w:t>
            </w:r>
          </w:p>
        </w:tc>
        <w:tc>
          <w:tcPr/>
          <w:p>
            <w:pPr>
              <w:pStyle w:val="Compact"/>
            </w:pPr>
            <w:r>
              <w:rPr>
                <w:rStyle w:val="Fill-in"/>
              </w:rPr>
              <w:t xml:space="preserve">[Fill in: for example encryption with validated cryptographic modules over the whole path]</w:t>
            </w:r>
          </w:p>
        </w:tc>
      </w:tr>
      <w:tr>
        <w:tc>
          <w:tcPr/>
          <w:p>
            <w:pPr>
              <w:pStyle w:val="Compact"/>
            </w:pPr>
            <w:r>
              <w:t xml:space="preserve">Protection at rest</w:t>
            </w:r>
          </w:p>
        </w:tc>
        <w:tc>
          <w:tcPr/>
          <w:p>
            <w:pPr>
              <w:pStyle w:val="Compact"/>
            </w:pPr>
            <w:r>
              <w:rPr>
                <w:rStyle w:val="Fill-in"/>
              </w:rPr>
              <w:t xml:space="preserve">[Fill in: for example encrypted storage on the receiving system]</w:t>
            </w:r>
          </w:p>
        </w:tc>
      </w:tr>
      <w:tr>
        <w:tc>
          <w:tcPr/>
          <w:p>
            <w:pPr>
              <w:pStyle w:val="Compact"/>
            </w:pPr>
            <w:r>
              <w:t xml:space="preserve">Authentication and access</w:t>
            </w:r>
          </w:p>
        </w:tc>
        <w:tc>
          <w:tcPr/>
          <w:p>
            <w:pPr>
              <w:pStyle w:val="Compact"/>
            </w:pPr>
            <w:r>
              <w:rPr>
                <w:rStyle w:val="Fill-in"/>
              </w:rPr>
              <w:t xml:space="preserve">[Fill in: for example multifactor authentication for users, and certificates or keys for system accounts]</w:t>
            </w:r>
          </w:p>
        </w:tc>
      </w:tr>
      <w:tr>
        <w:tc>
          <w:tcPr/>
          <w:p>
            <w:pPr>
              <w:pStyle w:val="Compact"/>
            </w:pPr>
            <w:r>
              <w:t xml:space="preserve">Accounts authorized to transfer data</w:t>
            </w:r>
          </w:p>
        </w:tc>
        <w:tc>
          <w:tcPr/>
          <w:p>
            <w:pPr>
              <w:pStyle w:val="Compact"/>
            </w:pPr>
            <w:r>
              <w:rPr>
                <w:rStyle w:val="Fill-in"/>
              </w:rPr>
              <w:t xml:space="preserve">[Fill in: for a High system, the accounts or systems allowed to send data and the write permissions each holds (CA-3(6)); otherwise</w:t>
            </w:r>
            <w:r>
              <w:rPr>
                <w:rStyle w:val="Fill-in"/>
              </w:rPr>
              <w:t xml:space="preserve"> </w:t>
            </w:r>
            <w:r>
              <w:rPr>
                <w:rStyle w:val="Fill-in"/>
              </w:rPr>
              <w:t xml:space="preserve">“not required”</w:t>
            </w:r>
            <w:r>
              <w:rPr>
                <w:rStyle w:val="Fill-in"/>
              </w:rPr>
              <w:t xml:space="preserve">]</w:t>
            </w:r>
          </w:p>
        </w:tc>
      </w:tr>
      <w:tr>
        <w:tc>
          <w:tcPr/>
          <w:p>
            <w:pPr>
              <w:pStyle w:val="Compact"/>
            </w:pPr>
            <w:r>
              <w:t xml:space="preserve">Event logging</w:t>
            </w:r>
          </w:p>
        </w:tc>
        <w:tc>
          <w:tcPr/>
          <w:p>
            <w:pPr>
              <w:pStyle w:val="Compact"/>
            </w:pPr>
            <w:r>
              <w:rPr>
                <w:rStyle w:val="Fill-in"/>
              </w:rPr>
              <w:t xml:space="preserve">[Fill in: the events each party logs for the exchange, for example transfers, access attempts and administrator actions, and how long logs are kept]</w:t>
            </w:r>
          </w:p>
        </w:tc>
      </w:tr>
      <w:tr>
        <w:tc>
          <w:tcPr/>
          <w:p>
            <w:pPr>
              <w:pStyle w:val="Compact"/>
            </w:pPr>
            <w:r>
              <w:t xml:space="preserve">Personally identifiable information</w:t>
            </w:r>
          </w:p>
        </w:tc>
        <w:tc>
          <w:tcPr/>
          <w:p>
            <w:pPr>
              <w:pStyle w:val="Compact"/>
            </w:pPr>
            <w:r>
              <w:rPr>
                <w:rStyle w:val="Fill-in"/>
              </w:rPr>
              <w:t xml:space="preserve">[Fill in: privacy requirements, for example minimization, use limits and breach notification, or</w:t>
            </w:r>
            <w:r>
              <w:rPr>
                <w:rStyle w:val="Fill-in"/>
              </w:rPr>
              <w:t xml:space="preserve"> </w:t>
            </w:r>
            <w:r>
              <w:rPr>
                <w:rStyle w:val="Fill-in"/>
              </w:rPr>
              <w:t xml:space="preserve">“none exchanged”</w:t>
            </w:r>
            <w:r>
              <w:rPr>
                <w:rStyle w:val="Fill-in"/>
              </w:rPr>
              <w:t xml:space="preserve">]</w:t>
            </w:r>
          </w:p>
        </w:tc>
      </w:tr>
    </w:tbl>
    <w:bookmarkEnd w:id="14"/>
    <w:bookmarkStart w:id="15" w:name="interconnection-details"/>
    <w:p>
      <w:pPr>
        <w:pStyle w:val="Heading2"/>
      </w:pPr>
      <w:r>
        <w:t xml:space="preserve">5. Interconnection details</w:t>
      </w:r>
    </w:p>
    <w:p>
      <w:pPr>
        <w:pStyle w:val="FirstParagraph"/>
      </w:pPr>
      <w:r>
        <w:t xml:space="preserve">Complete this section only for a system interconnection.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Services offered</w:t>
            </w:r>
          </w:p>
        </w:tc>
        <w:tc>
          <w:tcPr/>
          <w:p>
            <w:pPr>
              <w:pStyle w:val="Compact"/>
            </w:pPr>
            <w:r>
              <w:rPr>
                <w:rStyle w:val="Fill-in"/>
              </w:rPr>
              <w:t xml:space="preserve">[Fill in: the services the interconnection provides, or that it carries data only]</w:t>
            </w:r>
          </w:p>
        </w:tc>
      </w:tr>
      <w:tr>
        <w:tc>
          <w:tcPr/>
          <w:p>
            <w:pPr>
              <w:pStyle w:val="Compact"/>
            </w:pPr>
            <w:r>
              <w:t xml:space="preserve">Interface</w:t>
            </w:r>
          </w:p>
        </w:tc>
        <w:tc>
          <w:tcPr/>
          <w:p>
            <w:pPr>
              <w:pStyle w:val="Compact"/>
            </w:pPr>
            <w:r>
              <w:rPr>
                <w:rStyle w:val="Fill-in"/>
              </w:rPr>
              <w:t xml:space="preserve">[Fill in: endpoints, protocols and ports]</w:t>
            </w:r>
          </w:p>
        </w:tc>
      </w:tr>
      <w:tr>
        <w:tc>
          <w:tcPr/>
          <w:p>
            <w:pPr>
              <w:pStyle w:val="Compact"/>
            </w:pPr>
            <w:r>
              <w:t xml:space="preserve">Boundary protection</w:t>
            </w:r>
          </w:p>
        </w:tc>
        <w:tc>
          <w:tcPr/>
          <w:p>
            <w:pPr>
              <w:pStyle w:val="Compact"/>
            </w:pPr>
            <w:r>
              <w:rPr>
                <w:rStyle w:val="Fill-in"/>
              </w:rPr>
              <w:t xml:space="preserve">[Fill in: the firewalls, gateways or other managed interfaces at each end (SC-7)]</w:t>
            </w:r>
          </w:p>
        </w:tc>
      </w:tr>
      <w:tr>
        <w:tc>
          <w:tcPr/>
          <w:p>
            <w:pPr>
              <w:pStyle w:val="Compact"/>
            </w:pPr>
            <w:r>
              <w:t xml:space="preserve">Topology</w:t>
            </w:r>
          </w:p>
        </w:tc>
        <w:tc>
          <w:tcPr/>
          <w:p>
            <w:pPr>
              <w:pStyle w:val="Compact"/>
            </w:pPr>
            <w:r>
              <w:rPr>
                <w:rStyle w:val="Fill-in"/>
              </w:rPr>
              <w:t xml:space="preserve">[Fill in: reference to the attached diagram of the interconnection]</w:t>
            </w:r>
          </w:p>
        </w:tc>
      </w:tr>
      <w:tr>
        <w:tc>
          <w:tcPr/>
          <w:p>
            <w:pPr>
              <w:pStyle w:val="Compact"/>
            </w:pPr>
            <w:r>
              <w:t xml:space="preserve">Availability</w:t>
            </w:r>
          </w:p>
        </w:tc>
        <w:tc>
          <w:tcPr/>
          <w:p>
            <w:pPr>
              <w:pStyle w:val="Compact"/>
            </w:pPr>
            <w:r>
              <w:rPr>
                <w:rStyle w:val="Fill-in"/>
              </w:rPr>
              <w:t xml:space="preserve">[Fill in: the availability expected of the connection, and any service level agreement]</w:t>
            </w:r>
          </w:p>
        </w:tc>
      </w:tr>
    </w:tbl>
    <w:bookmarkEnd w:id="15"/>
    <w:bookmarkStart w:id="16" w:name="responsibilities-of-each-party"/>
    <w:p>
      <w:pPr>
        <w:pStyle w:val="Heading2"/>
      </w:pPr>
      <w:r>
        <w:t xml:space="preserve">6. Responsibilities of each party</w:t>
      </w:r>
    </w:p>
    <w:p>
      <w:pPr>
        <w:pStyle w:val="FirstParagraph"/>
      </w:pPr>
      <w:r>
        <w:t xml:space="preserve">Each party, for its own system:</w:t>
      </w:r>
    </w:p>
    <w:p>
      <w:pPr>
        <w:pStyle w:val="Compact"/>
        <w:numPr>
          <w:ilvl w:val="0"/>
          <w:numId w:val="1002"/>
        </w:numPr>
      </w:pPr>
      <w:r>
        <w:t xml:space="preserve">keeps the controls in section 4 in place, and keeps its system authorized to operate;</w:t>
      </w:r>
    </w:p>
    <w:p>
      <w:pPr>
        <w:pStyle w:val="Compact"/>
        <w:numPr>
          <w:ilvl w:val="0"/>
          <w:numId w:val="1002"/>
        </w:numPr>
      </w:pPr>
      <w:r>
        <w:t xml:space="preserve">manages the accounts used for the exchange, and removes access when it is no longer needed;</w:t>
      </w:r>
    </w:p>
    <w:p>
      <w:pPr>
        <w:pStyle w:val="Compact"/>
        <w:numPr>
          <w:ilvl w:val="0"/>
          <w:numId w:val="1002"/>
        </w:numPr>
      </w:pPr>
      <w:r>
        <w:t xml:space="preserve">reviews the event logs for the exchange</w:t>
      </w:r>
      <w:r>
        <w:t xml:space="preserve"> </w:t>
      </w:r>
      <w:r>
        <w:rPr>
          <w:rStyle w:val="Fill-in"/>
        </w:rPr>
        <w:t xml:space="preserve">[Fill in: how often]</w:t>
      </w:r>
      <w:r>
        <w:t xml:space="preserve">, and shares relevant findings with the other party;</w:t>
      </w:r>
    </w:p>
    <w:p>
      <w:pPr>
        <w:pStyle w:val="Compact"/>
        <w:numPr>
          <w:ilvl w:val="0"/>
          <w:numId w:val="1002"/>
        </w:numPr>
      </w:pPr>
      <w:r>
        <w:t xml:space="preserve">includes the exchange in its security assessments and continuous monitoring, and provides a summary of relevant results to the other party on request;</w:t>
      </w:r>
    </w:p>
    <w:p>
      <w:pPr>
        <w:pStyle w:val="Compact"/>
        <w:numPr>
          <w:ilvl w:val="0"/>
          <w:numId w:val="1002"/>
        </w:numPr>
      </w:pPr>
      <w:r>
        <w:t xml:space="preserve">records the exchange and this agreement in its system security plan (CA-3a);</w:t>
      </w:r>
    </w:p>
    <w:p>
      <w:pPr>
        <w:pStyle w:val="Compact"/>
        <w:numPr>
          <w:ilvl w:val="0"/>
          <w:numId w:val="1002"/>
        </w:numPr>
      </w:pPr>
      <w:r>
        <w:t xml:space="preserve">coordinates its contingency plan with the other party where the exchange supports an essential function.</w:t>
      </w:r>
    </w:p>
    <w:bookmarkEnd w:id="16"/>
    <w:bookmarkStart w:id="17" w:name="notifications"/>
    <w:p>
      <w:pPr>
        <w:pStyle w:val="Heading2"/>
      </w:pPr>
      <w:r>
        <w:t xml:space="preserve">7. Notifications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w:t>
            </w:r>
          </w:p>
        </w:tc>
        <w:tc>
          <w:tcPr/>
          <w:p>
            <w:pPr>
              <w:pStyle w:val="Compact"/>
            </w:pPr>
            <w:r>
              <w:t xml:space="preserve">Who notifies whom</w:t>
            </w:r>
          </w:p>
        </w:tc>
        <w:tc>
          <w:tcPr/>
          <w:p>
            <w:pPr>
              <w:pStyle w:val="Compact"/>
            </w:pPr>
            <w:r>
              <w:t xml:space="preserve">How quickly</w:t>
            </w:r>
          </w:p>
        </w:tc>
      </w:tr>
      <w:tr>
        <w:tc>
          <w:tcPr/>
          <w:p>
            <w:pPr>
              <w:pStyle w:val="Compact"/>
            </w:pPr>
            <w:r>
              <w:t xml:space="preserve">A suspected or confirmed security incident or breach affecting the exchange or the exchanged information</w:t>
            </w:r>
          </w:p>
        </w:tc>
        <w:tc>
          <w:tcPr/>
          <w:p>
            <w:pPr>
              <w:pStyle w:val="Compact"/>
            </w:pPr>
            <w:r>
              <w:t xml:space="preserve">The party that detects it, to the other party’s incident contact in section 8</w:t>
            </w:r>
          </w:p>
        </w:tc>
        <w:tc>
          <w:tcPr/>
          <w:p>
            <w:pPr>
              <w:pStyle w:val="Compact"/>
            </w:pPr>
            <w:r>
              <w:rPr>
                <w:rStyle w:val="Fill-in"/>
              </w:rPr>
              <w:t xml:space="preserve">[Fill in: time from detection, and when written notice follows]</w:t>
            </w:r>
          </w:p>
        </w:tc>
      </w:tr>
      <w:tr>
        <w:tc>
          <w:tcPr/>
          <w:p>
            <w:pPr>
              <w:pStyle w:val="Compact"/>
            </w:pPr>
            <w:r>
              <w:t xml:space="preserve">A disaster or outage that disrupts the exchange</w:t>
            </w:r>
          </w:p>
        </w:tc>
        <w:tc>
          <w:tcPr/>
          <w:p>
            <w:pPr>
              <w:pStyle w:val="Compact"/>
            </w:pPr>
            <w:r>
              <w:t xml:space="preserve">The affected party, to the other party’s technical contact</w:t>
            </w:r>
          </w:p>
        </w:tc>
        <w:tc>
          <w:tcPr/>
          <w:p>
            <w:pPr>
              <w:pStyle w:val="Compact"/>
            </w:pPr>
            <w:r>
              <w:rPr>
                <w:rStyle w:val="Fill-in"/>
              </w:rPr>
              <w:t xml:space="preserve">[Fill in: time]</w:t>
            </w:r>
          </w:p>
        </w:tc>
      </w:tr>
      <w:tr>
        <w:tc>
          <w:tcPr/>
          <w:p>
            <w:pPr>
              <w:pStyle w:val="Compact"/>
            </w:pPr>
            <w:r>
              <w:t xml:space="preserve">A planned change to either system that affects the exchange</w:t>
            </w:r>
          </w:p>
        </w:tc>
        <w:tc>
          <w:tcPr/>
          <w:p>
            <w:pPr>
              <w:pStyle w:val="Compact"/>
            </w:pPr>
            <w:r>
              <w:t xml:space="preserve">The initiating party, to the other party</w:t>
            </w:r>
          </w:p>
        </w:tc>
        <w:tc>
          <w:tcPr/>
          <w:p>
            <w:pPr>
              <w:pStyle w:val="Compact"/>
            </w:pPr>
            <w:r>
              <w:t xml:space="preserve">Before the change, so the agreement can be reviewed and updated first</w:t>
            </w:r>
          </w:p>
        </w:tc>
      </w:tr>
      <w:tr>
        <w:tc>
          <w:tcPr/>
          <w:p>
            <w:pPr>
              <w:pStyle w:val="Compact"/>
            </w:pPr>
            <w:r>
              <w:t xml:space="preserve">A new connection between either system and another system</w:t>
            </w:r>
          </w:p>
        </w:tc>
        <w:tc>
          <w:tcPr/>
          <w:p>
            <w:pPr>
              <w:pStyle w:val="Compact"/>
            </w:pPr>
            <w:r>
              <w:t xml:space="preserve">The initiating party, to the other party</w:t>
            </w:r>
          </w:p>
        </w:tc>
        <w:tc>
          <w:tcPr/>
          <w:p>
            <w:pPr>
              <w:pStyle w:val="Compact"/>
            </w:pPr>
            <w:r>
              <w:rPr>
                <w:rStyle w:val="Fill-in"/>
              </w:rPr>
              <w:t xml:space="preserve">[Fill in: notice period]</w:t>
            </w:r>
          </w:p>
        </w:tc>
      </w:tr>
      <w:tr>
        <w:tc>
          <w:tcPr/>
          <w:p>
            <w:pPr>
              <w:pStyle w:val="Compact"/>
            </w:pPr>
            <w:r>
              <w:t xml:space="preserve">A change of system owner, authorizing official or contact</w:t>
            </w:r>
          </w:p>
        </w:tc>
        <w:tc>
          <w:tcPr/>
          <w:p>
            <w:pPr>
              <w:pStyle w:val="Compact"/>
            </w:pPr>
            <w:r>
              <w:t xml:space="preserve">The changing party, to the other party</w:t>
            </w:r>
          </w:p>
        </w:tc>
        <w:tc>
          <w:tcPr/>
          <w:p>
            <w:pPr>
              <w:pStyle w:val="Compact"/>
            </w:pPr>
            <w:r>
              <w:rPr>
                <w:rStyle w:val="Fill-in"/>
              </w:rPr>
              <w:t xml:space="preserve">[Fill in: time]</w:t>
            </w:r>
          </w:p>
        </w:tc>
      </w:tr>
    </w:tbl>
    <w:bookmarkEnd w:id="17"/>
    <w:bookmarkStart w:id="18" w:name="points-of-contact"/>
    <w:p>
      <w:pPr>
        <w:pStyle w:val="Heading2"/>
      </w:pPr>
      <w:r>
        <w:t xml:space="preserve">8. Points of contact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rPr>
                <w:rStyle w:val="Fill-in"/>
              </w:rPr>
              <w:t xml:space="preserve">[Organization name]</w:t>
            </w:r>
          </w:p>
        </w:tc>
        <w:tc>
          <w:tcPr/>
          <w:p>
            <w:pPr>
              <w:pStyle w:val="Compact"/>
            </w:pPr>
            <w:r>
              <w:t xml:space="preserve">Other party</w:t>
            </w:r>
          </w:p>
        </w:tc>
      </w:tr>
      <w:tr>
        <w:tc>
          <w:tcPr/>
          <w:p>
            <w:pPr>
              <w:pStyle w:val="Compact"/>
            </w:pPr>
            <w:r>
              <w:t xml:space="preserve">System owner</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r>
        <w:tc>
          <w:tcPr/>
          <w:p>
            <w:pPr>
              <w:pStyle w:val="Compact"/>
            </w:pPr>
            <w:r>
              <w:t xml:space="preserve">Technical lead</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r>
        <w:tc>
          <w:tcPr/>
          <w:p>
            <w:pPr>
              <w:pStyle w:val="Compact"/>
            </w:pPr>
            <w:r>
              <w:t xml:space="preserve">Security contact</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r>
        <w:tc>
          <w:tcPr/>
          <w:p>
            <w:pPr>
              <w:pStyle w:val="Compact"/>
            </w:pPr>
            <w:r>
              <w:t xml:space="preserve">Incident contact</w:t>
            </w:r>
          </w:p>
        </w:tc>
        <w:tc>
          <w:tcPr/>
          <w:p>
            <w:pPr>
              <w:pStyle w:val="Compact"/>
            </w:pPr>
            <w:r>
              <w:rPr>
                <w:rStyle w:val="Fill-in"/>
              </w:rPr>
              <w:t xml:space="preserve">[Fill in: team, phone, email]</w:t>
            </w:r>
          </w:p>
        </w:tc>
        <w:tc>
          <w:tcPr/>
          <w:p>
            <w:pPr>
              <w:pStyle w:val="Compact"/>
            </w:pPr>
            <w:r>
              <w:rPr>
                <w:rStyle w:val="Fill-in"/>
              </w:rPr>
              <w:t xml:space="preserve">[Fill in: team, phone, email]</w:t>
            </w:r>
          </w:p>
        </w:tc>
      </w:tr>
      <w:tr>
        <w:tc>
          <w:tcPr/>
          <w:p>
            <w:pPr>
              <w:pStyle w:val="Compact"/>
            </w:pPr>
            <w:r>
              <w:t xml:space="preserve">Privacy contact</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bl>
    <w:bookmarkEnd w:id="18"/>
    <w:bookmarkStart w:id="19" w:name="duration-review-and-termination"/>
    <w:p>
      <w:pPr>
        <w:pStyle w:val="Heading2"/>
      </w:pPr>
      <w:r>
        <w:t xml:space="preserve">9. Duration, review and termination</w:t>
      </w:r>
    </w:p>
    <w:p>
      <w:pPr>
        <w:pStyle w:val="Compact"/>
        <w:numPr>
          <w:ilvl w:val="0"/>
          <w:numId w:val="1003"/>
        </w:numPr>
      </w:pPr>
      <w:r>
        <w:t xml:space="preserve">This agreement takes effect on the date of the last signature and remains in effect until</w:t>
      </w:r>
      <w:r>
        <w:t xml:space="preserve"> </w:t>
      </w:r>
      <w:r>
        <w:rPr>
          <w:rStyle w:val="Fill-in"/>
        </w:rPr>
        <w:t xml:space="preserve">[Fill in: the end date, or until terminated]</w:t>
      </w:r>
      <w:r>
        <w:t xml:space="preserve">.</w:t>
      </w:r>
    </w:p>
    <w:p>
      <w:pPr>
        <w:pStyle w:val="Compact"/>
        <w:numPr>
          <w:ilvl w:val="0"/>
          <w:numId w:val="1003"/>
        </w:numPr>
      </w:pPr>
      <w:r>
        <w:t xml:space="preserve">The</w:t>
      </w:r>
      <w:r>
        <w:t xml:space="preserve"> </w:t>
      </w:r>
      <w:r>
        <w:rPr>
          <w:rStyle w:val="Fill-in"/>
        </w:rPr>
        <w:t xml:space="preserve">[System owner]</w:t>
      </w:r>
      <w:r>
        <w:t xml:space="preserve"> </w:t>
      </w:r>
      <w:r>
        <w:t xml:space="preserve">reviews and updates this agreement, with the other party,</w:t>
      </w:r>
      <w:r>
        <w:t xml:space="preserve"> </w:t>
      </w:r>
      <w:r>
        <w:rPr>
          <w:rStyle w:val="Fill-in"/>
        </w:rPr>
        <w:t xml:space="preserve">[Fill in: the frequency at which to review and update agreements. Typical: at least annually, and when either system makes a significant change that affects the exchange]</w:t>
      </w:r>
      <w:r>
        <w:t xml:space="preserve"> </w:t>
      </w:r>
      <w:r>
        <w:t xml:space="preserve">(CA-3c). Each party certifies at the review that it has complied with the agreement and reports any changes to the exchange.</w:t>
      </w:r>
    </w:p>
    <w:p>
      <w:pPr>
        <w:pStyle w:val="Compact"/>
        <w:numPr>
          <w:ilvl w:val="0"/>
          <w:numId w:val="1003"/>
        </w:numPr>
      </w:pPr>
      <w:r>
        <w:t xml:space="preserve">Changes to this agreement are made in writing and signed by both parties.</w:t>
      </w:r>
    </w:p>
    <w:p>
      <w:pPr>
        <w:pStyle w:val="Compact"/>
        <w:numPr>
          <w:ilvl w:val="0"/>
          <w:numId w:val="1003"/>
        </w:numPr>
      </w:pPr>
      <w:r>
        <w:t xml:space="preserve">Either party may end the exchange with</w:t>
      </w:r>
      <w:r>
        <w:t xml:space="preserve"> </w:t>
      </w:r>
      <w:r>
        <w:rPr>
          <w:rStyle w:val="Fill-in"/>
        </w:rPr>
        <w:t xml:space="preserve">[Fill in: notice period]</w:t>
      </w:r>
      <w:r>
        <w:t xml:space="preserve"> </w:t>
      </w:r>
      <w:r>
        <w:t xml:space="preserve">written notice. Either party may suspend it immediately if a security incident requires, or if the other party misuses the information or breaks this agreement.</w:t>
      </w:r>
    </w:p>
    <w:p>
      <w:pPr>
        <w:pStyle w:val="Compact"/>
        <w:numPr>
          <w:ilvl w:val="0"/>
          <w:numId w:val="1003"/>
        </w:numPr>
      </w:pPr>
      <w:r>
        <w:t xml:space="preserve">When the exchange ends, the parties disconnect it, disable the accounts used, return or destroy the exchanged information as section 3 requires, and update their system security plans (CA-3a).</w:t>
      </w:r>
    </w:p>
    <w:bookmarkEnd w:id="19"/>
    <w:bookmarkStart w:id="23" w:name="approval"/>
    <w:p>
      <w:pPr>
        <w:pStyle w:val="Heading2"/>
      </w:pPr>
      <w:r>
        <w:t xml:space="preserve">10. Approval</w:t>
      </w:r>
    </w:p>
    <w:p>
      <w:pPr>
        <w:pStyle w:val="FirstParagraph"/>
      </w:pPr>
      <w:r>
        <w:t xml:space="preserve">The authorizing official for each system approves this exchange (CA-3a). Each signatory confirms that they have authority to commit their organization to this agreement.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Name</w:t>
            </w:r>
          </w:p>
        </w:tc>
        <w:tc>
          <w:tcPr/>
          <w:p>
            <w:pPr>
              <w:pStyle w:val="Compact"/>
            </w:pPr>
            <w:r>
              <w:t xml:space="preserve">Title</w:t>
            </w:r>
          </w:p>
        </w:tc>
        <w:tc>
          <w:tcPr/>
          <w:p>
            <w:pPr>
              <w:pStyle w:val="Compact"/>
            </w:pPr>
            <w:r>
              <w:t xml:space="preserve">Organization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Authorizing official</w:t>
            </w:r>
          </w:p>
        </w:tc>
        <w:tc>
          <w:tcPr/>
          <w:p>
            <w:pPr>
              <w:pStyle w:val="Compact"/>
            </w:pPr>
            <w:r>
              <w:rPr>
                <w:rStyle w:val="Fill-in"/>
              </w:rPr>
              <w:t xml:space="preserve">[Organization name]</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or equivalent</w:t>
            </w:r>
          </w:p>
        </w:tc>
        <w:tc>
          <w:tcPr/>
          <w:p>
            <w:pPr>
              <w:pStyle w:val="Compact"/>
            </w:pPr>
            <w:r>
              <w:rPr>
                <w:rStyle w:val="Fill-in"/>
              </w:rPr>
              <w:t xml:space="preserve">[Fill in: other organization]</w:t>
            </w:r>
          </w:p>
        </w:tc>
        <w:tc>
          <w:tcPr/>
          <w:p>
            <w:pPr>
              <w:pStyle w:val="Compact"/>
            </w:pPr>
          </w:p>
        </w:tc>
        <w:tc>
          <w:tcPr/>
          <w:p>
            <w:pPr>
              <w:pStyle w:val="Compact"/>
            </w:pPr>
            <w:r>
              <w:rPr>
                <w:rStyle w:val="Fill-in"/>
              </w:rPr>
              <w:t xml:space="preserve">[Fill in: date]</w:t>
            </w:r>
          </w:p>
        </w:tc>
      </w:tr>
    </w:tbl>
    <w:bookmarkStart w:id="22" w:name="federal-systems"/>
    <w:p>
      <w:pPr>
        <w:pStyle w:val="Heading3"/>
      </w:pPr>
      <w:r>
        <w:t xml:space="preserve">Federal systems</w:t>
      </w:r>
    </w:p>
    <w:p>
      <w:pPr>
        <w:pStyle w:val="FirstParagraph"/>
      </w:pPr>
      <w:hyperlink r:id="rId20">
        <w:r>
          <w:rPr>
            <w:rStyle w:val="Hyperlink"/>
          </w:rPr>
          <w:t xml:space="preserve">OMB Circular A-130</w:t>
        </w:r>
      </w:hyperlink>
      <w:r>
        <w:t xml:space="preserve">, Appendix I, section 4.c(16), requires the authorizing official’s approval for connections from a system, as defined by its authorization boundary, to other systems, based on the risk to agency operations and assets, individuals, other organizations and the Nation. Section 4.j(2)(f) requires agreements, such as memoranda of understanding, interconnection security agreements or contracts, for interfaces between agency systems and systems that contractors or other entities use or operate on the Government’s behalf. Section 4.i(14) requires agencies to encrypt all FIPS 199 moderate-impact and high-impact information at rest and in transit, unless it is technically infeasible or would demonstrably affect the mission, and the authorizing official accepts the risk of not encrypting with the approval of the agency Chief Information Officer, in consultation with the Senior Agency Official for Privacy as appropriate; section 4.i(15) requires validated cryptographic modules under NIST standards. Where the exchange discloses records from a system of records for a computer matching program, the Privacy Act requires a separate written matching agreement (</w:t>
      </w:r>
      <w:hyperlink r:id="rId21">
        <w:r>
          <w:rPr>
            <w:rStyle w:val="Hyperlink"/>
          </w:rPr>
          <w:t xml:space="preserve">5 U.S.C. § 552a(o)</w:t>
        </w:r>
      </w:hyperlink>
      <w:r>
        <w:t xml:space="preserve">). As of September 2026.</w:t>
      </w:r>
    </w:p>
    <w:p>
      <w:pPr>
        <w:pStyle w:val="Compact"/>
        <w:numPr>
          <w:ilvl w:val="0"/>
          <w:numId w:val="1004"/>
        </w:numPr>
      </w:pPr>
      <w:r>
        <w:t xml:space="preserve">The authorizing official shall base the approval in section 10 on the risk to agency operations and assets, individuals, other organizations and the Nation, as OMB Circular A-130, Appendix I, section 4.c(16), requires. (CA-3a)</w:t>
      </w:r>
    </w:p>
    <w:p>
      <w:pPr>
        <w:pStyle w:val="Compact"/>
        <w:numPr>
          <w:ilvl w:val="0"/>
          <w:numId w:val="1004"/>
        </w:numPr>
      </w:pPr>
      <w:r>
        <w:t xml:space="preserve">The</w:t>
      </w:r>
      <w:r>
        <w:t xml:space="preserve"> </w:t>
      </w:r>
      <w:r>
        <w:rPr>
          <w:rStyle w:val="Fill-in"/>
        </w:rPr>
        <w:t xml:space="preserve">[System owner]</w:t>
      </w:r>
      <w:r>
        <w:t xml:space="preserve"> </w:t>
      </w:r>
      <w:r>
        <w:t xml:space="preserve">shall ensure moderate-impact and high-impact information exchanged under this agreement is encrypted in transit and at rest with validated cryptographic modules, or that the authorizing official has accepted the risk of not encrypting it with the Chief Information Officer’s approval, as OMB Circular A-130, Appendix I, section 4.i(14) and (15), requires. (CA-3b)</w:t>
      </w:r>
    </w:p>
    <w:p>
      <w:pPr>
        <w:pStyle w:val="Compact"/>
        <w:numPr>
          <w:ilvl w:val="0"/>
          <w:numId w:val="1004"/>
        </w:numPr>
      </w:pPr>
      <w:r>
        <w:t xml:space="preserve">The</w:t>
      </w:r>
      <w:r>
        <w:t xml:space="preserve"> </w:t>
      </w:r>
      <w:r>
        <w:rPr>
          <w:rStyle w:val="Fill-in"/>
        </w:rPr>
        <w:t xml:space="preserve">[System owner]</w:t>
      </w:r>
      <w:r>
        <w:t xml:space="preserve"> </w:t>
      </w:r>
      <w:r>
        <w:t xml:space="preserve">shall confirm with the</w:t>
      </w:r>
      <w:r>
        <w:t xml:space="preserve"> </w:t>
      </w:r>
      <w:r>
        <w:rPr>
          <w:rStyle w:val="Fill-in"/>
        </w:rPr>
        <w:t xml:space="preserve">[Senior privacy official]</w:t>
      </w:r>
      <w:r>
        <w:t xml:space="preserve"> </w:t>
      </w:r>
      <w:r>
        <w:t xml:space="preserve">whether the exchange is a computer matching program, and if so ensure a matching agreement under 5 U.S.C. § 552a(o) is in place before records are disclosed. (CA-3b)</w:t>
      </w:r>
    </w:p>
    <w:bookmarkEnd w:id="22"/>
    <w:bookmarkEnd w:id="23"/>
    <w:bookmarkStart w:id="24"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Agreement ID</w:t>
            </w:r>
          </w:p>
        </w:tc>
        <w:tc>
          <w:tcPr/>
          <w:p>
            <w:pPr>
              <w:pStyle w:val="Compact"/>
            </w:pPr>
            <w:r>
              <w:t xml:space="preserve">Organization’s system</w:t>
            </w:r>
          </w:p>
        </w:tc>
        <w:tc>
          <w:tcPr/>
          <w:p>
            <w:pPr>
              <w:pStyle w:val="Compact"/>
            </w:pPr>
            <w:r>
              <w:t xml:space="preserve">Other organization and system</w:t>
            </w:r>
          </w:p>
        </w:tc>
        <w:tc>
          <w:tcPr/>
          <w:p>
            <w:pPr>
              <w:pStyle w:val="Compact"/>
            </w:pPr>
            <w:r>
              <w:t xml:space="preserve">Agreement type</w:t>
            </w:r>
          </w:p>
        </w:tc>
        <w:tc>
          <w:tcPr/>
          <w:p>
            <w:pPr>
              <w:pStyle w:val="Compact"/>
            </w:pPr>
            <w:r>
              <w:t xml:space="preserve">Method</w:t>
            </w:r>
          </w:p>
        </w:tc>
        <w:tc>
          <w:tcPr/>
          <w:p>
            <w:pPr>
              <w:pStyle w:val="Compact"/>
            </w:pPr>
            <w:r>
              <w:t xml:space="preserve">Information and impact level</w:t>
            </w:r>
          </w:p>
        </w:tc>
        <w:tc>
          <w:tcPr/>
          <w:p>
            <w:pPr>
              <w:pStyle w:val="Compact"/>
            </w:pPr>
            <w:r>
              <w:t xml:space="preserve">Approved by</w:t>
            </w:r>
          </w:p>
        </w:tc>
        <w:tc>
          <w:tcPr/>
          <w:p>
            <w:pPr>
              <w:pStyle w:val="Compact"/>
            </w:pPr>
            <w:r>
              <w:t xml:space="preserve">Effective date</w:t>
            </w:r>
          </w:p>
        </w:tc>
        <w:tc>
          <w:tcPr/>
          <w:p>
            <w:pPr>
              <w:pStyle w:val="Compact"/>
            </w:pPr>
            <w:r>
              <w:t xml:space="preserve">Last review</w:t>
            </w:r>
          </w:p>
        </w:tc>
        <w:tc>
          <w:tcPr/>
          <w:p>
            <w:pPr>
              <w:pStyle w:val="Compact"/>
            </w:pPr>
            <w:r>
              <w:t xml:space="preserve">Next review due</w:t>
            </w:r>
          </w:p>
        </w:tc>
        <w:tc>
          <w:tcPr/>
          <w:p>
            <w:pPr>
              <w:pStyle w:val="Compact"/>
            </w:pPr>
            <w:r>
              <w:t xml:space="preserve">Status</w:t>
            </w:r>
          </w:p>
        </w:tc>
        <w:tc>
          <w:tcPr/>
          <w:p>
            <w:pPr>
              <w:pStyle w:val="Compact"/>
            </w:pPr>
            <w:r>
              <w:t xml:space="preserve">Where the signed copy is kept</w:t>
            </w:r>
          </w:p>
        </w:tc>
      </w:tr>
      <w:tr>
        <w:tc>
          <w:tcPr/>
          <w:p>
            <w:pPr>
              <w:pStyle w:val="Compact"/>
            </w:pPr>
            <w:r>
              <w:rPr>
                <w:rStyle w:val="Fill-in"/>
              </w:rPr>
              <w:t xml:space="preserve">[Fill in: ID]</w:t>
            </w:r>
          </w:p>
        </w:tc>
        <w:tc>
          <w:tcPr/>
          <w:p>
            <w:pPr>
              <w:pStyle w:val="Compact"/>
            </w:pPr>
            <w:r>
              <w:rPr>
                <w:rStyle w:val="Fill-in"/>
              </w:rPr>
              <w:t xml:space="preserve">[Fill in: system]</w:t>
            </w:r>
          </w:p>
        </w:tc>
        <w:tc>
          <w:tcPr/>
          <w:p>
            <w:pPr>
              <w:pStyle w:val="Compact"/>
            </w:pPr>
            <w:r>
              <w:rPr>
                <w:rStyle w:val="Fill-in"/>
              </w:rPr>
              <w:t xml:space="preserve">[Fill in: organization and system]</w:t>
            </w:r>
          </w:p>
        </w:tc>
        <w:tc>
          <w:tcPr/>
          <w:p>
            <w:pPr>
              <w:pStyle w:val="Compact"/>
            </w:pPr>
            <w:r>
              <w:rPr>
                <w:rStyle w:val="Fill-in"/>
              </w:rPr>
              <w:t xml:space="preserve">[Fill in: type]</w:t>
            </w:r>
          </w:p>
        </w:tc>
        <w:tc>
          <w:tcPr/>
          <w:p>
            <w:pPr>
              <w:pStyle w:val="Compact"/>
            </w:pPr>
            <w:r>
              <w:rPr>
                <w:rStyle w:val="Fill-in"/>
              </w:rPr>
              <w:t xml:space="preserve">[Fill in: method]</w:t>
            </w:r>
          </w:p>
        </w:tc>
        <w:tc>
          <w:tcPr/>
          <w:p>
            <w:pPr>
              <w:pStyle w:val="Compact"/>
            </w:pPr>
            <w:r>
              <w:rPr>
                <w:rStyle w:val="Fill-in"/>
              </w:rPr>
              <w:t xml:space="preserve">[Fill in: information and impact level]</w:t>
            </w:r>
          </w:p>
        </w:tc>
        <w:tc>
          <w:tcPr/>
          <w:p>
            <w:pPr>
              <w:pStyle w:val="Compact"/>
            </w:pPr>
            <w:r>
              <w:rPr>
                <w:rStyle w:val="Fill-in"/>
              </w:rPr>
              <w:t xml:space="preserve">[Fill in: authorizing official]</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active, suspended or ended]</w:t>
            </w:r>
          </w:p>
        </w:tc>
        <w:tc>
          <w:tcPr/>
          <w:p>
            <w:pPr>
              <w:pStyle w:val="Compact"/>
            </w:pPr>
            <w:r>
              <w:rPr>
                <w:rStyle w:val="Fill-in"/>
              </w:rPr>
              <w:t xml:space="preserve">[Fill in: location]</w:t>
            </w:r>
          </w:p>
        </w:tc>
      </w:tr>
    </w:tbl>
    <w:bookmarkEnd w:id="24"/>
    <w:bookmarkEnd w:id="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Exchange Agreement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information-exchange-agreement/" TargetMode="External" /><Relationship Type="http://schemas.openxmlformats.org/officeDocument/2006/relationships/hyperlink" Id="rId21" Target="https://uscode.house.gov/view.xhtml?req=granuleid:USC-prelim-title5-section552a&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information-exchange-agreement/" TargetMode="External" /><Relationship Type="http://schemas.openxmlformats.org/officeDocument/2006/relationships/hyperlink" Id="rId21" Target="https://uscode.house.gov/view.xhtml?req=granuleid:USC-prelim-title5-section552a&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