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facb215ea25fbc65cfeda88e1c59f3cd1a38"/>
    <w:p>
      <w:pPr>
        <w:pStyle w:val="Heading1"/>
      </w:pPr>
      <w:r>
        <w:t xml:space="preserve">Onboarding, Transfer and Termination Checklist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https://kston83.github.io/nist-guide/templates/forms/onboarding-transfer-and-termination-checklist/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Checklist owner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1" w:name="how-to-use-this-checklist"/>
    <w:p>
      <w:pPr>
        <w:pStyle w:val="Heading2"/>
      </w:pPr>
      <w:r>
        <w:t xml:space="preserve">How to use this checklist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[Human resources office]</w:t>
      </w:r>
      <w:r>
        <w:t xml:space="preserve"> </w:t>
      </w:r>
      <w:r>
        <w:t xml:space="preserve">starts a checklist when a hire, transfer or departure is approved, or when an external provider reports one (PS-7d).</w:t>
      </w:r>
    </w:p>
    <w:p>
      <w:pPr>
        <w:pStyle w:val="Compact"/>
        <w:numPr>
          <w:ilvl w:val="0"/>
          <w:numId w:val="1001"/>
        </w:numPr>
      </w:pPr>
      <w:r>
        <w:t xml:space="preserve">Each owner completes their steps and records the date and their initials.</w:t>
      </w:r>
    </w:p>
    <w:p>
      <w:pPr>
        <w:pStyle w:val="Compact"/>
        <w:numPr>
          <w:ilvl w:val="0"/>
          <w:numId w:val="1001"/>
        </w:numPr>
      </w:pPr>
      <w:r>
        <w:t xml:space="preserve">A step that does not apply is marked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with the reason, not left blank.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[Human resources office]</w:t>
      </w:r>
      <w:r>
        <w:t xml:space="preserve"> </w:t>
      </w:r>
      <w:r>
        <w:t xml:space="preserve">closes the checklist when every step is done, records it in the register below, and keeps it</w:t>
      </w:r>
      <w:r>
        <w:t xml:space="preserve"> </w:t>
      </w:r>
      <w:r>
        <w:rPr>
          <w:rStyle w:val="Fill-in"/>
        </w:rPr>
        <w:t xml:space="preserve">[Fill in: where and for how long]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Person</w:t>
            </w:r>
          </w:p>
        </w:tc>
        <w:tc>
          <w:tcPr/>
          <w:p>
            <w:pPr>
              <w:pStyle w:val="Compact"/>
            </w:pPr>
            <w:r>
              <w:t xml:space="preserve">Organizational unit or employer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Checklist started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or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 or employer]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onboarding, transfer or termination]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</w:tr>
    </w:tbl>
    <w:bookmarkEnd w:id="11"/>
    <w:bookmarkStart w:id="14" w:name="onboarding"/>
    <w:p>
      <w:pPr>
        <w:pStyle w:val="Heading2"/>
      </w:pPr>
      <w:r>
        <w:t xml:space="preserve">Onboarding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Confirm the position’s risk designation and the screening it requires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the offer</w:t>
            </w:r>
          </w:p>
        </w:tc>
        <w:tc>
          <w:tcPr/>
          <w:p>
            <w:pPr>
              <w:pStyle w:val="Compact"/>
            </w:pPr>
            <w:r>
              <w:t xml:space="preserve">PS-2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Complete screening for the position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PS-3a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Get the signed access agreement and Rules of Behavior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PS-6c.1, PL-4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Complete security and privacy literacy training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AT-2a.1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Submit and approve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access request</w:t>
              </w:r>
            </w:hyperlink>
            <w:r>
              <w:t xml:space="preserve"> </w:t>
            </w:r>
            <w:r>
              <w:t xml:space="preserve">for each system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AC-2e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Create accounts and issue authenticators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After steps 2 to 5</w:t>
            </w:r>
          </w:p>
        </w:tc>
        <w:tc>
          <w:tcPr/>
          <w:p>
            <w:pPr>
              <w:pStyle w:val="Compact"/>
            </w:pPr>
            <w:r>
              <w:t xml:space="preserve">AC-2, IA-5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Issue a building pass and devices, and record them (the pass in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physical access list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facilities or IT asset owner]</w:t>
            </w:r>
          </w:p>
        </w:tc>
        <w:tc>
          <w:tcPr/>
          <w:p>
            <w:pPr>
              <w:pStyle w:val="Compact"/>
            </w:pPr>
            <w:r>
              <w:t xml:space="preserve">First day</w:t>
            </w:r>
          </w:p>
        </w:tc>
        <w:tc>
          <w:tcPr/>
          <w:p>
            <w:pPr>
              <w:pStyle w:val="Compact"/>
            </w:pPr>
            <w:r>
              <w:t xml:space="preserve">PE-2, CM-8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Assign role-based training, if the role needs it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duties begin</w:t>
            </w:r>
          </w:p>
        </w:tc>
        <w:tc>
          <w:tcPr/>
          <w:p>
            <w:pPr>
              <w:pStyle w:val="Compact"/>
            </w:pPr>
            <w:r>
              <w:t xml:space="preserve">AT-3</w:t>
            </w: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transfer"/>
    <w:p>
      <w:pPr>
        <w:pStyle w:val="Heading2"/>
      </w:pPr>
      <w:r>
        <w:t xml:space="preserve">Transfer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Notify</w:t>
            </w:r>
            <w:r>
              <w:t xml:space="preserve"> </w:t>
            </w:r>
            <w:r>
              <w:rPr>
                <w:rStyle w:val="Fill-in"/>
              </w:rPr>
              <w:t xml:space="preserve">[Fill in: personnel or roles to be notified when individuals are reassigned or transferred to other positions within the organization. Typical: the account managers and system owners of the systems the individual has access to]</w:t>
            </w:r>
            <w:r>
              <w:t xml:space="preserve"> </w:t>
            </w:r>
            <w:r>
              <w:t xml:space="preserve">of the transfer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time period within which to notify organization-defined personnel or roles when individuals are reassigned or transferred to other positions within the organization. Typical: 24 hours]</w:t>
            </w:r>
          </w:p>
        </w:tc>
        <w:tc>
          <w:tcPr/>
          <w:p>
            <w:pPr>
              <w:pStyle w:val="Compact"/>
            </w:pPr>
            <w:r>
              <w:t xml:space="preserve">PS-5d, AC-2h.2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Review and confirm the need for current logical and physical access</w:t>
            </w:r>
          </w:p>
        </w:tc>
        <w:tc>
          <w:tcPr/>
          <w:p>
            <w:pPr>
              <w:pStyle w:val="Compact"/>
            </w:pPr>
            <w:r>
              <w:t xml:space="preserve">Losing and gaining</w:t>
            </w:r>
            <w:r>
              <w:t xml:space="preserve"> </w:t>
            </w: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the effective date</w:t>
            </w:r>
          </w:p>
        </w:tc>
        <w:tc>
          <w:tcPr/>
          <w:p>
            <w:pPr>
              <w:pStyle w:val="Compact"/>
            </w:pPr>
            <w:r>
              <w:t xml:space="preserve">PS-5a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Initiate the transfer actions:</w:t>
            </w:r>
            <w:r>
              <w:t xml:space="preserve"> </w:t>
            </w:r>
            <w:r>
              <w:rPr>
                <w:rStyle w:val="Fill-in"/>
              </w:rPr>
              <w:t xml:space="preserve">[Fill in: transfer or reassignment actions to be initiated following transfer or reassignment. Typical: a review of the individual’s access by the losing and gaining supervisors, removal of access the new position does not need, and the return or issue of keys, badges and equipment]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the time period within which transfer or reassignment actions must occur following transfer or reassignment. Typical: 5 business days]</w:t>
            </w:r>
            <w:r>
              <w:t xml:space="preserve"> </w:t>
            </w:r>
            <w:r>
              <w:t xml:space="preserve">of the formal transfer action</w:t>
            </w:r>
          </w:p>
        </w:tc>
        <w:tc>
          <w:tcPr/>
          <w:p>
            <w:pPr>
              <w:pStyle w:val="Compact"/>
            </w:pPr>
            <w:r>
              <w:t xml:space="preserve">PS-5b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Remove access the new position does not need, and grant approved new access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 step 3</w:t>
            </w:r>
          </w:p>
        </w:tc>
        <w:tc>
          <w:tcPr/>
          <w:p>
            <w:pPr>
              <w:pStyle w:val="Compact"/>
            </w:pPr>
            <w:r>
              <w:t xml:space="preserve">PS-5c, AC-2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Rescreen, if the new position has a higher risk designation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the new access is granted</w:t>
            </w:r>
          </w:p>
        </w:tc>
        <w:tc>
          <w:tcPr/>
          <w:p>
            <w:pPr>
              <w:pStyle w:val="Compact"/>
            </w:pPr>
            <w:r>
              <w:t xml:space="preserve">PS-3b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Sign any new access agreement the new position requires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the new access is granted</w:t>
            </w:r>
          </w:p>
        </w:tc>
        <w:tc>
          <w:tcPr/>
          <w:p>
            <w:pPr>
              <w:pStyle w:val="Compact"/>
            </w:pPr>
            <w:r>
              <w:t xml:space="preserve">PS-6c.1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Assign role-based training for the new role, if it needs it</w:t>
            </w:r>
          </w:p>
        </w:tc>
        <w:tc>
          <w:tcPr/>
          <w:p>
            <w:pPr>
              <w:pStyle w:val="Compact"/>
            </w:pPr>
            <w:r>
              <w:t xml:space="preserve">Gaining</w:t>
            </w:r>
            <w:r>
              <w:t xml:space="preserve"> </w:t>
            </w: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duties begin</w:t>
            </w:r>
          </w:p>
        </w:tc>
        <w:tc>
          <w:tcPr/>
          <w:p>
            <w:pPr>
              <w:pStyle w:val="Compact"/>
            </w:pPr>
            <w:r>
              <w:t xml:space="preserve">AT-3</w:t>
            </w: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7" w:name="termination"/>
    <w:p>
      <w:pPr>
        <w:pStyle w:val="Heading2"/>
      </w:pPr>
      <w:r>
        <w:t xml:space="preserve">Termination</w:t>
      </w:r>
    </w:p>
    <w:p>
      <w:pPr>
        <w:pStyle w:val="FirstParagraph"/>
      </w:pPr>
      <w:r>
        <w:t xml:space="preserve">For an involuntary termination, or one for cause, do steps 1 and 2 no later than when the person is told.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Notify the account managers and system owners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time period within which to notify account managers when users are terminated or transferred. Typical: 24 hours, or the same day for privileged users]</w:t>
            </w:r>
          </w:p>
        </w:tc>
        <w:tc>
          <w:tcPr/>
          <w:p>
            <w:pPr>
              <w:pStyle w:val="Compact"/>
            </w:pPr>
            <w:r>
              <w:t xml:space="preserve">AC-2h.2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Disable all system access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a time period within which to disable system access. Typical: 24 hours, or the same day for privileged users; for an involuntary termination, no later than when the individual is told]</w:t>
            </w:r>
          </w:p>
        </w:tc>
        <w:tc>
          <w:tcPr/>
          <w:p>
            <w:pPr>
              <w:pStyle w:val="Compact"/>
            </w:pPr>
            <w:r>
              <w:t xml:space="preserve">PS-4a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Revoke authenticators and credentials, including tokens, certificates and building passes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 step 2</w:t>
            </w:r>
          </w:p>
        </w:tc>
        <w:tc>
          <w:tcPr/>
          <w:p>
            <w:pPr>
              <w:pStyle w:val="Compact"/>
            </w:pPr>
            <w:r>
              <w:t xml:space="preserve">PS-4b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Change the authenticators of any shared or group account the person used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 step 2</w:t>
            </w:r>
          </w:p>
        </w:tc>
        <w:tc>
          <w:tcPr/>
          <w:p>
            <w:pPr>
              <w:pStyle w:val="Compact"/>
            </w:pPr>
            <w:r>
              <w:t xml:space="preserve">AC-2k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Conduct the exit interview, covering</w:t>
            </w:r>
            <w:r>
              <w:t xml:space="preserve"> </w:t>
            </w:r>
            <w:r>
              <w:rPr>
                <w:rStyle w:val="Fill-in"/>
              </w:rPr>
              <w:t xml:space="preserve">[Fill in: information security topics to be discussed when conducting exit interviews. Typical: the individual’s continuing duty not to disclose organizational information, the return of all organizational property and information, and that former credentials must not be used]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By the last day, where possible</w:t>
            </w:r>
          </w:p>
        </w:tc>
        <w:tc>
          <w:tcPr/>
          <w:p>
            <w:pPr>
              <w:pStyle w:val="Compact"/>
            </w:pPr>
            <w:r>
              <w:t xml:space="preserve">PS-4c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Retrieve devices, tokens, keys, identification cards, building passes and information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By the last day</w:t>
            </w:r>
          </w:p>
        </w:tc>
        <w:tc>
          <w:tcPr/>
          <w:p>
            <w:pPr>
              <w:pStyle w:val="Compact"/>
            </w:pPr>
            <w:r>
              <w:t xml:space="preserve">PS-4d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Transfer ownership of the person’s files, mailboxes and systems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accounts are removed</w:t>
            </w:r>
          </w:p>
        </w:tc>
        <w:tc>
          <w:tcPr/>
          <w:p>
            <w:pPr>
              <w:pStyle w:val="Compact"/>
            </w:pPr>
            <w:r>
              <w:t xml:space="preserve">PS-4e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Remove accounts, or keep them disabled, as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account management procedure</w:t>
              </w:r>
            </w:hyperlink>
            <w:r>
              <w:t xml:space="preserve"> </w:t>
            </w:r>
            <w:r>
              <w:t xml:space="preserve">says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when, for example after 30 days]</w:t>
            </w:r>
          </w:p>
        </w:tc>
        <w:tc>
          <w:tcPr/>
          <w:p>
            <w:pPr>
              <w:pStyle w:val="Compact"/>
            </w:pPr>
            <w:r>
              <w:t xml:space="preserve">AC-2f</w:t>
            </w:r>
          </w:p>
        </w:tc>
        <w:tc>
          <w:tcPr/>
          <w:p>
            <w:pPr>
              <w:pStyle w:val="Compact"/>
            </w:pPr>
          </w:p>
        </w:tc>
      </w:tr>
    </w:tbl>
    <w:bookmarkEnd w:id="17"/>
    <w:bookmarkStart w:id="20" w:name="external-personnel"/>
    <w:p>
      <w:pPr>
        <w:pStyle w:val="Heading2"/>
      </w:pPr>
      <w:r>
        <w:t xml:space="preserve">External personnel</w:t>
      </w:r>
    </w:p>
    <w:p>
      <w:pPr>
        <w:pStyle w:val="FirstParagraph"/>
      </w:pPr>
      <w:r>
        <w:t xml:space="preserve">When the person works for an external provider, the provider must report a transfer or termination within</w:t>
      </w:r>
      <w:r>
        <w:t xml:space="preserve"> </w:t>
      </w:r>
      <w:r>
        <w:rPr>
          <w:rStyle w:val="Fill-in"/>
        </w:rPr>
        <w:t xml:space="preserve">[Fill in: time period within which third-party providers are required to notify organization-defined personnel or roles of any personnel transfers or terminations of external personnel who possess organizational credentials and/or badges or who have system privileges. Typical: 24 hours]</w:t>
      </w:r>
      <w:r>
        <w:t xml:space="preserve"> </w:t>
      </w:r>
      <w:r>
        <w:t xml:space="preserve">(PS-7d). That report starts the transfer or termination section above. Record the date the provider’s report arrived:</w:t>
      </w:r>
      <w:r>
        <w:t xml:space="preserve"> </w:t>
      </w:r>
      <w:r>
        <w:rPr>
          <w:rStyle w:val="Fill-in"/>
        </w:rPr>
        <w:t xml:space="preserve">[Fill in: date]</w:t>
      </w:r>
      <w:r>
        <w:t xml:space="preserve">.</w:t>
      </w:r>
    </w:p>
    <w:bookmarkStart w:id="19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hyperlink r:id="rId18">
        <w:r>
          <w:rPr>
            <w:rStyle w:val="Hyperlink"/>
          </w:rPr>
          <w:t xml:space="preserve">FIPS 201-3</w:t>
        </w:r>
      </w:hyperlink>
      <w:r>
        <w:t xml:space="preserve"> </w:t>
      </w:r>
      <w:r>
        <w:t xml:space="preserve">(January 2022) requires the FBI National Criminal History Check to be completed and favorably adjudicated before a PIV Card is issued to someone with no prior investigation (section 2.2), and requires the PIV Card to be terminated when a federal employee separates or a contractor no longer needs access to federal buildings or systems (section 2.9.4). Checked September 2026.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F1</w:t>
            </w:r>
          </w:p>
        </w:tc>
        <w:tc>
          <w:tcPr/>
          <w:p>
            <w:pPr>
              <w:pStyle w:val="Compact"/>
            </w:pPr>
            <w:r>
              <w:t xml:space="preserve">Confirm the investigation is initiated and the FBI National Criminal History Check is favorably adjudicated before PIV Card issuance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Onboarding, before PIV issuance</w:t>
            </w:r>
          </w:p>
        </w:tc>
        <w:tc>
          <w:tcPr/>
          <w:p>
            <w:pPr>
              <w:pStyle w:val="Compact"/>
            </w:pPr>
            <w:r>
              <w:t xml:space="preserve">PS-3a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Have the PIV Card issuer terminate the PIV Card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Termination, or a contractor’s transfer that ends the need for access</w:t>
            </w:r>
          </w:p>
        </w:tc>
        <w:tc>
          <w:tcPr/>
          <w:p>
            <w:pPr>
              <w:pStyle w:val="Compact"/>
            </w:pPr>
            <w:r>
              <w:t xml:space="preserve">PS-4b</w:t>
            </w:r>
          </w:p>
        </w:tc>
        <w:tc>
          <w:tcPr/>
          <w:p>
            <w:pPr>
              <w:pStyle w:val="Compact"/>
            </w:pPr>
          </w:p>
        </w:tc>
      </w:tr>
    </w:tbl>
    <w:bookmarkEnd w:id="19"/>
    <w:bookmarkEnd w:id="20"/>
    <w:bookmarkStart w:id="21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Person</w:t>
            </w:r>
          </w:p>
        </w:tc>
        <w:tc>
          <w:tcPr/>
          <w:p>
            <w:pPr>
              <w:pStyle w:val="Compact"/>
            </w:pPr>
            <w:r>
              <w:t xml:space="preserve">Organizational unit or employer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Notice received</w:t>
            </w:r>
          </w:p>
        </w:tc>
        <w:tc>
          <w:tcPr/>
          <w:p>
            <w:pPr>
              <w:pStyle w:val="Compact"/>
            </w:pPr>
            <w:r>
              <w:t xml:space="preserve">Access disabled or changed</w:t>
            </w:r>
          </w:p>
        </w:tc>
        <w:tc>
          <w:tcPr/>
          <w:p>
            <w:pPr>
              <w:pStyle w:val="Compact"/>
            </w:pPr>
            <w:r>
              <w:t xml:space="preserve">Property returned</w:t>
            </w:r>
          </w:p>
        </w:tc>
        <w:tc>
          <w:tcPr/>
          <w:p>
            <w:pPr>
              <w:pStyle w:val="Compact"/>
            </w:pPr>
            <w:r>
              <w:t xml:space="preserve">Checklist closed</w:t>
            </w:r>
          </w:p>
        </w:tc>
        <w:tc>
          <w:tcPr/>
          <w:p>
            <w:pPr>
              <w:pStyle w:val="Compact"/>
            </w:pPr>
            <w:r>
              <w:t xml:space="preserve">Closed by</w:t>
            </w:r>
          </w:p>
        </w:tc>
        <w:tc>
          <w:tcPr/>
          <w:p>
            <w:pPr>
              <w:pStyle w:val="Compact"/>
            </w:pPr>
            <w:r>
              <w:t xml:space="preserve">Where the checklist is kept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or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 or employer]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onboarding, transfer or termination]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</w:tbl>
    <w:bookmarkEnd w:id="21"/>
    <w:bookmarkEnd w:id="2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Onboarding, Transfer and Termination Checklist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8" Target="https://csrc.nist.gov/pubs/fips/201-3/final" TargetMode="External" /><Relationship Type="http://schemas.openxmlformats.org/officeDocument/2006/relationships/hyperlink" Id="rId12" Target="https://kston83.github.io/nist-guide/templates/forms/access-request-form/" TargetMode="External" /><Relationship Type="http://schemas.openxmlformats.org/officeDocument/2006/relationships/hyperlink" Id="rId9" Target="https://kston83.github.io/nist-guide/templates/forms/onboarding-transfer-and-termination-checklist/" TargetMode="External" /><Relationship Type="http://schemas.openxmlformats.org/officeDocument/2006/relationships/hyperlink" Id="rId13" Target="https://kston83.github.io/nist-guide/templates/forms/physical-access-list/" TargetMode="External" /><Relationship Type="http://schemas.openxmlformats.org/officeDocument/2006/relationships/hyperlink" Id="rId16" Target="https://kston83.github.io/nist-guide/templates/procedures/account-management-procedu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8" Target="https://csrc.nist.gov/pubs/fips/201-3/final" TargetMode="External" /><Relationship Type="http://schemas.openxmlformats.org/officeDocument/2006/relationships/hyperlink" Id="rId12" Target="https://kston83.github.io/nist-guide/templates/forms/access-request-form/" TargetMode="External" /><Relationship Type="http://schemas.openxmlformats.org/officeDocument/2006/relationships/hyperlink" Id="rId9" Target="https://kston83.github.io/nist-guide/templates/forms/onboarding-transfer-and-termination-checklist/" TargetMode="External" /><Relationship Type="http://schemas.openxmlformats.org/officeDocument/2006/relationships/hyperlink" Id="rId13" Target="https://kston83.github.io/nist-guide/templates/forms/physical-access-list/" TargetMode="External" /><Relationship Type="http://schemas.openxmlformats.org/officeDocument/2006/relationships/hyperlink" Id="rId16" Target="https://kston83.github.io/nist-guide/templates/procedures/account-management-procedu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