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3" w:name="plan-of-action-and-milestones-poam"/>
    <w:p>
      <w:pPr>
        <w:pStyle w:val="Heading1"/>
      </w:pPr>
      <w:r>
        <w:t xml:space="preserve">Plan of Action and Milestones (POA&amp;M)</w:t>
      </w:r>
    </w:p>
    <w:p>
      <w:pPr>
        <w:pStyle w:val="FirstParagraph"/>
      </w:pPr>
      <w:r>
        <w:rPr>
          <w:b/>
          <w:bCs/>
        </w:rPr>
        <w:t xml:space="preserve">Template version:</w:t>
      </w:r>
      <w:r>
        <w:t xml:space="preserve"> </w:t>
      </w:r>
      <w:r>
        <w:t xml:space="preserve">1.0.0 ·</w:t>
      </w:r>
      <w:r>
        <w:t xml:space="preserve"> </w:t>
      </w:r>
      <w:r>
        <w:rPr>
          <w:b/>
          <w:bCs/>
        </w:rPr>
        <w:t xml:space="preserve">Edition:</w:t>
      </w:r>
      <w:r>
        <w:t xml:space="preserve"> </w:t>
      </w:r>
      <w:r>
        <w:t xml:space="preserve">Annotated (with guidance) ·</w:t>
      </w:r>
      <w:r>
        <w:t xml:space="preserve"> </w:t>
      </w:r>
      <w:r>
        <w:rPr>
          <w:b/>
          <w:bCs/>
        </w:rPr>
        <w:t xml:space="preserve">NIST basis:</w:t>
      </w:r>
      <w:r>
        <w:t xml:space="preserve"> </w:t>
      </w:r>
      <w:r>
        <w:t xml:space="preserve">SP 800-53 Rev. 5, release 5.2.0</w:t>
      </w:r>
    </w:p>
    <w:p>
      <w:pPr>
        <w:pStyle w:val="BodyText"/>
      </w:pPr>
      <w:r>
        <w:rPr>
          <w:i/>
          <w:iCs/>
        </w:rPr>
        <w:t xml:space="preserve">Tailor this template before adoption; it is not legal advice.</w:t>
      </w:r>
      <w:r>
        <w:t xml:space="preserve"> </w:t>
      </w:r>
      <w:r>
        <w:t xml:space="preserve">Latest version:</w:t>
      </w:r>
      <w:r>
        <w:t xml:space="preserve"> </w:t>
      </w:r>
      <w:hyperlink r:id="rId9">
        <w:r>
          <w:rPr>
            <w:rStyle w:val="Hyperlink"/>
          </w:rPr>
          <w:t xml:space="preserve">https://kston83.github.io/nist-guide/templates/forms/plan-of-action-and-milestones/</w:t>
        </w:r>
      </w:hyperlink>
      <w:r>
        <w:t xml:space="preserve">. Dedicated to the public domain under CC0 1.0 (</w:t>
      </w:r>
      <w:hyperlink r:id="rId10">
        <w:r>
          <w:rPr>
            <w:rStyle w:val="Hyperlink"/>
          </w:rPr>
          <w:t xml:space="preserve">https://creativecommons.org/publicdomain/zero/1.0/</w:t>
        </w:r>
      </w:hyperlink>
      <w:r>
        <w:t xml:space="preserve">): adopt and change it without attribution.</w:t>
      </w:r>
    </w:p>
    <w:p>
      <w:pPr>
        <w:pStyle w:val="Guidance"/>
      </w:pPr>
      <w:r>
        <w:t xml:space="preserve">The POA&amp;M is where every known weakness lives until it is fixed or formally accepted. Assessors check three things: that every</w:t>
      </w:r>
      <w:r>
        <w:t xml:space="preserve"> </w:t>
      </w:r>
      <w:r>
        <w:t xml:space="preserve">“other than satisfied”</w:t>
      </w:r>
      <w:r>
        <w:t xml:space="preserve"> </w:t>
      </w:r>
      <w:r>
        <w:t xml:space="preserve">finding and every unremediated scan result appears here, that each item has an owner and a realistic date, and that overdue items are explained rather than silently moved. Keep one POA&amp;M per system, usually as a spreadsheet or in a GRC tool; the register below is also downloadable as a CSV file.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System</w:t>
            </w:r>
          </w:p>
        </w:tc>
        <w:tc>
          <w:tcPr/>
          <w:p>
            <w:pPr>
              <w:pStyle w:val="Compact"/>
            </w:pPr>
            <w:r>
              <w:t xml:space="preserve">System owner</w:t>
            </w:r>
          </w:p>
        </w:tc>
        <w:tc>
          <w:tcPr/>
          <w:p>
            <w:pPr>
              <w:pStyle w:val="Compact"/>
            </w:pPr>
            <w:r>
              <w:t xml:space="preserve">Last updated</w:t>
            </w:r>
          </w:p>
        </w:tc>
        <w:tc>
          <w:tcPr/>
          <w:p>
            <w:pPr>
              <w:pStyle w:val="Compact"/>
            </w:pPr>
            <w:r>
              <w:t xml:space="preserve">Updated by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system name and identifier]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[System owner]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 and title]</w:t>
            </w:r>
          </w:p>
        </w:tc>
      </w:tr>
    </w:tbl>
    <w:bookmarkStart w:id="11" w:name="how-to-use-this-register"/>
    <w:p>
      <w:pPr>
        <w:pStyle w:val="Heading2"/>
      </w:pPr>
      <w:r>
        <w:t xml:space="preserve">How to use this register</w:t>
      </w:r>
    </w:p>
    <w:p>
      <w:pPr>
        <w:pStyle w:val="Compact"/>
        <w:numPr>
          <w:ilvl w:val="0"/>
          <w:numId w:val="1001"/>
        </w:numPr>
      </w:pPr>
      <w:r>
        <w:t xml:space="preserve">Add an item for each weakness or deficiency found in a control assessment, and for each known vulnerability the system has not yet fixed (CA-5a).</w:t>
      </w:r>
    </w:p>
    <w:p>
      <w:pPr>
        <w:pStyle w:val="Compact"/>
        <w:numPr>
          <w:ilvl w:val="0"/>
          <w:numId w:val="1001"/>
        </w:numPr>
      </w:pPr>
      <w:r>
        <w:t xml:space="preserve">Update the register</w:t>
      </w:r>
      <w:r>
        <w:t xml:space="preserve"> </w:t>
      </w:r>
      <w:r>
        <w:rPr>
          <w:rStyle w:val="Fill-in"/>
        </w:rPr>
        <w:t xml:space="preserve">[Fill in: the frequency at which to update an existing plan of action and milestones based on the findings from control assessments, independent audits or reviews, and continuous monitoring activities. Typical: at least monthly, and whenever an assessment, audit, scan or monitoring activity finds a new weakness]</w:t>
      </w:r>
      <w:r>
        <w:t xml:space="preserve">, using the findings of control assessments, independent audits or reviews, and continuous monitoring (CA-5b).</w:t>
      </w:r>
    </w:p>
    <w:p>
      <w:pPr>
        <w:pStyle w:val="Compact"/>
        <w:numPr>
          <w:ilvl w:val="0"/>
          <w:numId w:val="1001"/>
        </w:numPr>
      </w:pPr>
      <w:r>
        <w:t xml:space="preserve">Keep closed items, with their completion date and evidence, so the history supports the next assessment.</w:t>
      </w:r>
    </w:p>
    <w:p>
      <w:pPr>
        <w:pStyle w:val="Compact"/>
        <w:numPr>
          <w:ilvl w:val="0"/>
          <w:numId w:val="1001"/>
        </w:numPr>
      </w:pPr>
      <w:r>
        <w:t xml:space="preserve">When 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proposes to accept a risk instead of fixing it, record the authorizing official’s decision and its date in the item.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What to record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</w:t>
            </w:r>
          </w:p>
        </w:tc>
        <w:tc>
          <w:tcPr/>
          <w:p>
            <w:pPr>
              <w:pStyle w:val="Compact"/>
            </w:pPr>
            <w:r>
              <w:t xml:space="preserve">A unique, permanent identifier for the item</w:t>
            </w:r>
          </w:p>
        </w:tc>
      </w:tr>
      <w:tr>
        <w:tc>
          <w:tcPr/>
          <w:p>
            <w:pPr>
              <w:pStyle w:val="Compact"/>
            </w:pPr>
            <w:r>
              <w:t xml:space="preserve">Weakness</w:t>
            </w:r>
          </w:p>
        </w:tc>
        <w:tc>
          <w:tcPr/>
          <w:p>
            <w:pPr>
              <w:pStyle w:val="Compact"/>
            </w:pPr>
            <w:r>
              <w:t xml:space="preserve">A short name and a description of the weakness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Where it was found: assessment, scan, audit, incident or continuous monitoring, with the report reference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Controls</w:t>
            </w:r>
          </w:p>
        </w:tc>
        <w:tc>
          <w:tcPr/>
          <w:p>
            <w:pPr>
              <w:pStyle w:val="Compact"/>
            </w:pPr>
            <w:r>
              <w:t xml:space="preserve">The controls affected, such as AC-2 or SI-2</w:t>
            </w:r>
          </w:p>
        </w:tc>
      </w:tr>
      <w:tr>
        <w:tc>
          <w:tcPr/>
          <w:p>
            <w:pPr>
              <w:pStyle w:val="Compact"/>
            </w:pPr>
            <w:r>
              <w:t xml:space="preserve">Affected components</w:t>
            </w:r>
          </w:p>
        </w:tc>
        <w:tc>
          <w:tcPr/>
          <w:p>
            <w:pPr>
              <w:pStyle w:val="Compact"/>
            </w:pPr>
            <w:r>
              <w:t xml:space="preserve">The components or services where the weakness exists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Date identified</w:t>
            </w:r>
          </w:p>
        </w:tc>
        <w:tc>
          <w:tcPr/>
          <w:p>
            <w:pPr>
              <w:pStyle w:val="Compact"/>
            </w:pPr>
            <w:r>
              <w:t xml:space="preserve">When the weakness was found</w:t>
            </w:r>
          </w:p>
        </w:tc>
      </w:tr>
      <w:tr>
        <w:tc>
          <w:tcPr/>
          <w:p>
            <w:pPr>
              <w:pStyle w:val="Compact"/>
            </w:pPr>
            <w:r>
              <w:t xml:space="preserve">Risk level</w:t>
            </w:r>
          </w:p>
        </w:tc>
        <w:tc>
          <w:tcPr/>
          <w:p>
            <w:pPr>
              <w:pStyle w:val="Compact"/>
            </w:pPr>
            <w:r>
              <w:t xml:space="preserve">The risk the weakness poses, using the organization’s risk scale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The role responsible for fixing it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Resources required</w:t>
            </w:r>
          </w:p>
        </w:tc>
        <w:tc>
          <w:tcPr/>
          <w:p>
            <w:pPr>
              <w:pStyle w:val="Compact"/>
            </w:pPr>
            <w:r>
              <w:t xml:space="preserve">Funding, staff or tools needed, or</w:t>
            </w:r>
            <w:r>
              <w:t xml:space="preserve"> </w:t>
            </w:r>
            <w:r>
              <w:t xml:space="preserve">“none”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Milestones</w:t>
            </w:r>
          </w:p>
        </w:tc>
        <w:tc>
          <w:tcPr/>
          <w:p>
            <w:pPr>
              <w:pStyle w:val="Compact"/>
            </w:pPr>
            <w:r>
              <w:t xml:space="preserve">Interim steps, each with a planned date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Scheduled completion</w:t>
            </w:r>
          </w:p>
        </w:tc>
        <w:tc>
          <w:tcPr/>
          <w:p>
            <w:pPr>
              <w:pStyle w:val="Compact"/>
            </w:pPr>
            <w:r>
              <w:t xml:space="preserve">The date the weakness will be fixed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Open, completed or risk accepted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Completion date and evidence</w:t>
            </w:r>
          </w:p>
        </w:tc>
        <w:tc>
          <w:tcPr/>
          <w:p>
            <w:pPr>
              <w:pStyle w:val="Compact"/>
            </w:pPr>
            <w:r>
              <w:t xml:space="preserve">When it was fixed and where the evidence is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Changes to dates, with the reason and who approved them</w:t>
            </w:r>
          </w:p>
        </w:tc>
      </w:tr>
    </w:tbl>
    <w:bookmarkEnd w:id="11"/>
    <w:bookmarkStart w:id="12" w:name="register"/>
    <w:p>
      <w:pPr>
        <w:pStyle w:val="Heading2"/>
      </w:pPr>
      <w:r>
        <w:t xml:space="preserve">Register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ID</w:t>
            </w:r>
          </w:p>
        </w:tc>
        <w:tc>
          <w:tcPr/>
          <w:p>
            <w:pPr>
              <w:pStyle w:val="Compact"/>
            </w:pPr>
            <w:r>
              <w:t xml:space="preserve">Weakness</w:t>
            </w:r>
          </w:p>
        </w:tc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Controls</w:t>
            </w:r>
          </w:p>
        </w:tc>
        <w:tc>
          <w:tcPr/>
          <w:p>
            <w:pPr>
              <w:pStyle w:val="Compact"/>
            </w:pPr>
            <w:r>
              <w:t xml:space="preserve">Affected components</w:t>
            </w:r>
          </w:p>
        </w:tc>
        <w:tc>
          <w:tcPr/>
          <w:p>
            <w:pPr>
              <w:pStyle w:val="Compact"/>
            </w:pPr>
            <w:r>
              <w:t xml:space="preserve">Date identified</w:t>
            </w:r>
          </w:p>
        </w:tc>
        <w:tc>
          <w:tcPr/>
          <w:p>
            <w:pPr>
              <w:pStyle w:val="Compact"/>
            </w:pPr>
            <w:r>
              <w:t xml:space="preserve">Risk level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Resources required</w:t>
            </w:r>
          </w:p>
        </w:tc>
        <w:tc>
          <w:tcPr/>
          <w:p>
            <w:pPr>
              <w:pStyle w:val="Compact"/>
            </w:pPr>
            <w:r>
              <w:t xml:space="preserve">Milestones</w:t>
            </w:r>
          </w:p>
        </w:tc>
        <w:tc>
          <w:tcPr/>
          <w:p>
            <w:pPr>
              <w:pStyle w:val="Compact"/>
            </w:pPr>
            <w:r>
              <w:t xml:space="preserve">Scheduled completion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Completion date and evidence</w:t>
            </w:r>
          </w:p>
        </w:tc>
        <w:tc>
          <w:tcPr/>
          <w:p>
            <w:pPr>
              <w:pStyle w:val="Compact"/>
            </w:pPr>
            <w:r>
              <w:t xml:space="preserve">Comments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ID]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weakness]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source and report reference]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controls]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components]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risk level]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owner role]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resources]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milestones and dates]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status]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 and evidence location]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comments]</w:t>
            </w:r>
          </w:p>
        </w:tc>
      </w:tr>
    </w:tbl>
    <w:bookmarkEnd w:id="12"/>
    <w:bookmarkEnd w:id="13"/>
    <w:sectPr>
      <w:headerReference r:id="rIdPres06Header" w:type="default"/>
      <w:footerReference r:id="rIdPres06Footer" w:type="default"/>
      <w:footnotePr>
        <w:numRestart w:val="eachSect"/>
      </w:footnotePr>
      <w:pgSz w:h="15840" w:w="12240"/>
      <w:pgMar w:bottom="1440" w:footer="720" w:gutter="0" w:header="720" w:left="1440" w:right="1440" w:top="144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Page </w:t>
    </w:r>
    <w:fldSimple w:instr=" PAGE ">
      <w:r>
        <w:t xml:space="preserve">1</w:t>
      </w:r>
    </w:fldSimple>
    <w:r>
      <w:t xml:space="preserve"> of </w:t>
    </w:r>
    <w:fldSimple w:instr=" NUMPAGES ">
      <w:r>
        <w:t xml:space="preserve">1</w:t>
      </w:r>
    </w:fldSimple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</w:pPr>
    <w:r>
      <w:t xml:space="preserve">Plan of Action and Milestones (POA&amp;M)</w:t>
    </w:r>
    <w:r>
      <w:tab/>
    </w:r>
    <w:r>
      <w:t xml:space="preserve">Version 1.0.0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Theme="minorEastAsia" w:hAnsi="Calibri"/>
        <w:sz w:val="22"/>
        <w:szCs w:val="22"/>
        <w:lang w:bidi="ar-SA" w:eastAsia="zh-CN" w:val="en-US"/>
      </w:rPr>
    </w:rPrDefault>
    <w:pPrDefault>
      <w:pPr>
        <w:spacing w:after="120" w:line="264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60" w:before="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pPr>
      <w:spacing w:after="240"/>
      <w:contextualSpacing/>
    </w:pPr>
    <w:rPr>
      <w:rFonts w:ascii="Georgia" w:cs="Georgia" w:eastAsiaTheme="minorEastAsia" w:hAnsi="Georgia"/>
      <w:color w:val="0F5C5A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20" w:before="360"/>
      <w:outlineLvl w:val="0"/>
    </w:pPr>
    <w:rPr>
      <w:rFonts w:ascii="Georgia" w:cs="Georgia" w:eastAsiaTheme="minorEastAsia" w:hAnsi="Georgia"/>
      <w:color w:val="0F5C5A"/>
      <w:sz w:val="36"/>
      <w:szCs w:val="36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00" w:before="300"/>
      <w:outlineLvl w:val="1"/>
    </w:pPr>
    <w:rPr>
      <w:rFonts w:ascii="Georgia" w:cs="Georgia" w:eastAsiaTheme="minorEastAsia" w:hAnsi="Georgia"/>
      <w:color w:val="0F5C5A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80" w:before="240"/>
      <w:outlineLvl w:val="2"/>
    </w:pPr>
    <w:rPr>
      <w:rFonts w:ascii="Georgia" w:cs="Georgia" w:eastAsiaTheme="minorEastAsia" w:hAnsi="Georgia"/>
      <w:b/>
      <w:bCs/>
      <w:color w:val="093A39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60" w:before="200"/>
      <w:outlineLvl w:val="3"/>
    </w:pPr>
    <w:rPr>
      <w:rFonts w:ascii="Calibri" w:cs="Calibri" w:eastAsiaTheme="minorEastAsia" w:hAnsi="Calibri"/>
      <w:b/>
      <w:bCs/>
      <w:color w:val="093A39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pPr>
      <w:spacing w:after="0" w:before="0"/>
    </w:pPr>
    <w:rPr>
      <w:sz w:val="20"/>
      <w:szCs w:val="20"/>
    </w:rPr>
    <w:tblPr>
      <w:tblInd w:type="dxa" w:w="0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  <w:tblCellMar>
        <w:top w:type="dxa" w:w="60"/>
        <w:left w:type="dxa" w:w="108"/>
        <w:bottom w:type="dxa" w:w="60"/>
        <w:right w:type="dxa" w:w="108"/>
      </w:tblCellMar>
    </w:tblPr>
    <w:tblStylePr w:type="firstRow">
      <w:rPr>
        <w:b/>
        <w:bCs/>
        <w:color w:val="FFFFFF"/>
      </w:rPr>
      <w:tcPr>
        <w:shd w:color="auto" w:fill="0F5C5A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0F5C5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Fill-in" w:type="character">
    <w:name w:val="Fill-in"/>
    <w:rPr>
      <w:highlight w:val="yellow"/>
    </w:rPr>
  </w:style>
  <w:style w:customStyle="1" w:styleId="Guidance" w:type="paragraph">
    <w:name w:val="Guidance"/>
    <w:basedOn w:val="Normal"/>
    <w:qFormat/>
    <w:pPr>
      <w:pBdr>
        <w:left w:color="0F5C5A" w:space="8" w:sz="18" w:val="single"/>
      </w:pBdr>
      <w:shd w:color="auto" w:fill="EAF4F3" w:val="clear"/>
      <w:ind w:left="284"/>
    </w:pPr>
    <w:rPr>
      <w:i/>
    </w:rPr>
  </w:style>
  <w:style w:styleId="Header" w:type="paragraph">
    <w:name w:val="header"/>
    <w:basedOn w:val="Normal"/>
    <w:uiPriority w:val="99"/>
    <w:unhideWhenUsed/>
    <w:pPr>
      <w:pBdr>
        <w:bottom w:color="0F5C5A" w:space="4" w:sz="4" w:val="single"/>
      </w:pBdr>
      <w:tabs>
        <w:tab w:pos="9360" w:val="right"/>
      </w:tabs>
      <w:spacing w:after="0"/>
    </w:pPr>
    <w:rPr>
      <w:color w:val="595959"/>
      <w:sz w:val="18"/>
      <w:szCs w:val="18"/>
    </w:rPr>
  </w:style>
  <w:style w:styleId="Footer" w:type="paragraph">
    <w:name w:val="footer"/>
    <w:basedOn w:val="Normal"/>
    <w:uiPriority w:val="99"/>
    <w:unhideWhenUsed/>
    <w:pPr>
      <w:jc w:val="center"/>
      <w:spacing w:after="0"/>
    </w:pPr>
    <w:rPr>
      <w:color w:val="595959"/>
      <w:sz w:val="18"/>
      <w:szCs w:val="18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Pres06Header" Target="header1.xml" Type="http://schemas.openxmlformats.org/officeDocument/2006/relationships/header" /><Relationship Id="rIdPres06Footer" Target="footer1.xml" Type="http://schemas.openxmlformats.org/officeDocument/2006/relationships/footer" /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9" Target="https://kston83.github.io/nist-guide/templates/forms/plan-of-action-and-milestone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9" Target="https://kston83.github.io/nist-guide/templates/forms/plan-of-action-and-milestone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2026-10-16T17:54:52Z</dcterms:created>
  <dcterms:modified xsi:type="dcterms:W3CDTF">2026-10-16T17:54:52Z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