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security-categorization-worksheet"/>
    <w:p>
      <w:pPr>
        <w:pStyle w:val="Heading1"/>
      </w:pPr>
      <w:r>
        <w:t xml:space="preserve">Security Categorization Worksheet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https://kston83.github.io/nist-guide/templates/forms/security-categorization-worksheet/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 name</w:t>
            </w:r>
          </w:p>
        </w:tc>
        <w:tc>
          <w:tcPr/>
          <w:p>
            <w:pPr>
              <w:pStyle w:val="Compact"/>
            </w:pPr>
            <w:r>
              <w:t xml:space="preserve">System identifier</w:t>
            </w:r>
          </w:p>
        </w:tc>
        <w:tc>
          <w:tcPr/>
          <w:p>
            <w:pPr>
              <w:pStyle w:val="Compact"/>
            </w:pPr>
            <w:r>
              <w:t xml:space="preserve">Prepared by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unique system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Start w:id="11" w:name="impact-levels"/>
    <w:p>
      <w:pPr>
        <w:pStyle w:val="Heading2"/>
      </w:pPr>
      <w:r>
        <w:t xml:space="preserve">1. Impact levels</w:t>
      </w:r>
    </w:p>
    <w:p>
      <w:pPr>
        <w:pStyle w:val="FirstParagraph"/>
      </w:pPr>
      <w:r>
        <w:t xml:space="preserve">Rate each loss using these levels, adapted from FIPS 199. The adverse effect is on the organization’s operations, its assets, or individuals.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A loss of confidentiality, integrity or availability could be expected to have</w:t>
            </w:r>
          </w:p>
        </w:tc>
        <w:tc>
          <w:tcPr/>
          <w:p>
            <w:pPr>
              <w:pStyle w:val="Compact"/>
            </w:pPr>
            <w:r>
              <w:t xml:space="preserve">For example, the loss might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A limited adverse effect</w:t>
            </w:r>
          </w:p>
        </w:tc>
        <w:tc>
          <w:tcPr/>
          <w:p>
            <w:pPr>
              <w:pStyle w:val="Compact"/>
            </w:pPr>
            <w:r>
              <w:t xml:space="preserve">Noticeably reduce the effectiveness of primary functions that can still be performed; cause minor damage to assets or minor financial loss; or cause minor harm to individuals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Moderate</w:t>
            </w:r>
          </w:p>
        </w:tc>
        <w:tc>
          <w:tcPr/>
          <w:p>
            <w:pPr>
              <w:pStyle w:val="Compact"/>
            </w:pPr>
            <w:r>
              <w:t xml:space="preserve">A serious adverse effect</w:t>
            </w:r>
          </w:p>
        </w:tc>
        <w:tc>
          <w:tcPr/>
          <w:p>
            <w:pPr>
              <w:pStyle w:val="Compact"/>
            </w:pPr>
            <w:r>
              <w:t xml:space="preserve">Significantly reduce the effectiveness of primary functions that can still be performed; cause significant damage to assets or significant financial loss; or cause significant harm to individuals, not involving loss of life or serious life-threatening injury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A severe or catastrophic adverse effect</w:t>
            </w:r>
          </w:p>
        </w:tc>
        <w:tc>
          <w:tcPr/>
          <w:p>
            <w:pPr>
              <w:pStyle w:val="Compact"/>
            </w:pPr>
            <w:r>
              <w:t xml:space="preserve">Leave the organization unable to perform one or more primary functions; cause major damage to assets or major financial loss; or cause severe or catastrophic harm to individuals, involving loss of life or serious life-threatening injury</w:t>
            </w:r>
          </w:p>
        </w:tc>
      </w:tr>
    </w:tbl>
    <w:p>
      <w:pPr>
        <w:pStyle w:val="BodyText"/>
      </w:pPr>
      <w:r>
        <w:t xml:space="preserve">Describe what each level means for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in its own terms, for example money lost, people affected or hours of outage:</w:t>
      </w:r>
      <w:r>
        <w:t xml:space="preserve"> </w:t>
      </w:r>
      <w:r>
        <w:rPr>
          <w:rStyle w:val="Fill-in"/>
        </w:rPr>
        <w:t xml:space="preserve">[Fill in: organization-specific examples for low, moderate and high, or a reference to the risk management strategy]</w:t>
      </w:r>
      <w:r>
        <w:t xml:space="preserve">.</w:t>
      </w:r>
    </w:p>
    <w:bookmarkEnd w:id="11"/>
    <w:bookmarkStart w:id="12" w:name="system-description"/>
    <w:p>
      <w:pPr>
        <w:pStyle w:val="Heading2"/>
      </w:pPr>
      <w:r>
        <w:t xml:space="preserve">2. System description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the mission or business function the system supports]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who uses the system, internal and external]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Boundary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the main components, and where the system ends]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Connections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other systems it exchanges information with]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Personally identifiable information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no; if yes, what kinds]</w:t>
            </w:r>
          </w:p>
        </w:tc>
      </w:tr>
    </w:tbl>
    <w:bookmarkEnd w:id="12"/>
    <w:bookmarkStart w:id="13" w:name="information-types"/>
    <w:p>
      <w:pPr>
        <w:pStyle w:val="Heading2"/>
      </w:pPr>
      <w:r>
        <w:t xml:space="preserve">3. Information types</w:t>
      </w:r>
    </w:p>
    <w:p>
      <w:pPr>
        <w:pStyle w:val="FirstParagraph"/>
      </w:pPr>
      <w:r>
        <w:t xml:space="preserve">List every type of information the system processes, stores or transmits in the register at the end of this worksheet (RA-2a). For each, rate the impact of a loss of each security objective, and say why. Where a type’s provisional rating is changed, for example because of the volume of records, a legal requirement or how critical the function is, record the change and the reason.</w:t>
      </w:r>
    </w:p>
    <w:bookmarkEnd w:id="13"/>
    <w:bookmarkStart w:id="19" w:name="system-categorization"/>
    <w:p>
      <w:pPr>
        <w:pStyle w:val="Heading2"/>
      </w:pPr>
      <w:r>
        <w:t xml:space="preserve">4. System categorization</w:t>
      </w:r>
    </w:p>
    <w:p>
      <w:pPr>
        <w:pStyle w:val="FirstParagraph"/>
      </w:pPr>
      <w:r>
        <w:t xml:space="preserve">The system’s rating for each objective is the highest rating of any of its information types (the high-water mark), raised where the system itself calls for it, for example because other systems depend on it or its own configuration and security information needs more protection. A system is never rated</w:t>
      </w:r>
      <w:r>
        <w:t xml:space="preserve"> </w:t>
      </w:r>
      <w:r>
        <w:t xml:space="preserve">“not applicable”</w:t>
      </w:r>
      <w:r>
        <w:t xml:space="preserve"> </w:t>
      </w:r>
      <w:r>
        <w:t xml:space="preserve">for any objective.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Objective</w:t>
            </w:r>
          </w:p>
        </w:tc>
        <w:tc>
          <w:tcPr/>
          <w:p>
            <w:pPr>
              <w:pStyle w:val="Compact"/>
            </w:pPr>
            <w:r>
              <w:t xml:space="preserve">System impact level</w:t>
            </w:r>
          </w:p>
        </w:tc>
        <w:tc>
          <w:tcPr/>
          <w:p>
            <w:pPr>
              <w:pStyle w:val="Compac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Confidentiality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low, moderate or high]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rationale]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Integrity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low, moderate or high]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rationale]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Availability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low, moderate or high]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rationale]</w:t>
            </w:r>
          </w:p>
        </w:tc>
      </w:tr>
    </w:tbl>
    <w:p>
      <w:pPr>
        <w:pStyle w:val="BodyText"/>
      </w:pPr>
      <w:r>
        <w:t xml:space="preserve">The overall security categorization is</w:t>
      </w:r>
      <w:r>
        <w:t xml:space="preserve"> </w:t>
      </w:r>
      <w:r>
        <w:rPr>
          <w:rStyle w:val="Fill-in"/>
        </w:rPr>
        <w:t xml:space="preserve">[Fill in: low, moderate or high]</w:t>
      </w:r>
      <w:r>
        <w:t xml:space="preserve">, the highest of the three, and the system uses the</w:t>
      </w:r>
      <w:r>
        <w:t xml:space="preserve"> </w:t>
      </w:r>
      <w:r>
        <w:rPr>
          <w:rStyle w:val="Fill-in"/>
        </w:rPr>
        <w:t xml:space="preserve">[Fill in: Low, Moderate or High]</w:t>
      </w:r>
      <w:r>
        <w:t xml:space="preserve"> </w:t>
      </w:r>
      <w:r>
        <w:t xml:space="preserve">control baseline (PL-10). The results and rationale are recorded in section 6 of the system security plan (RA-2b).</w:t>
      </w:r>
    </w:p>
    <w:bookmarkStart w:id="18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Federal systems categorize under</w:t>
      </w:r>
      <w:r>
        <w:t xml:space="preserve"> </w:t>
      </w:r>
      <w:hyperlink r:id="rId14">
        <w:r>
          <w:rPr>
            <w:rStyle w:val="Hyperlink"/>
          </w:rPr>
          <w:t xml:space="preserve">FIPS 199</w:t>
        </w:r>
      </w:hyperlink>
      <w:r>
        <w:t xml:space="preserve"> </w:t>
      </w:r>
      <w:r>
        <w:t xml:space="preserve">(February 2004), whose impact definitions and examples section 1 adapts and whose high-water mark rule section 4 follows, and identify information types and their provisional impact levels from</w:t>
      </w:r>
      <w:r>
        <w:t xml:space="preserve"> </w:t>
      </w:r>
      <w:hyperlink r:id="rId15">
        <w:r>
          <w:rPr>
            <w:rStyle w:val="Hyperlink"/>
          </w:rPr>
          <w:t xml:space="preserve">NIST SP 800-60 Rev. 1</w:t>
        </w:r>
      </w:hyperlink>
      <w:r>
        <w:t xml:space="preserve"> </w:t>
      </w:r>
      <w:r>
        <w:t xml:space="preserve">(August 2008;</w:t>
      </w:r>
      <w:r>
        <w:t xml:space="preserve"> </w:t>
      </w:r>
      <w:hyperlink r:id="rId16">
        <w:r>
          <w:rPr>
            <w:rStyle w:val="Hyperlink"/>
          </w:rPr>
          <w:t xml:space="preserve">Volume 2</w:t>
        </w:r>
      </w:hyperlink>
      <w:r>
        <w:t xml:space="preserve"> </w:t>
      </w:r>
      <w:r>
        <w:t xml:space="preserve">lists the types). Under</w:t>
      </w:r>
      <w:r>
        <w:t xml:space="preserve"> </w:t>
      </w:r>
      <w:hyperlink r:id="rId17">
        <w:r>
          <w:rPr>
            <w:rStyle w:val="Hyperlink"/>
          </w:rPr>
          <w:t xml:space="preserve">FIPS 200</w:t>
        </w:r>
      </w:hyperlink>
      <w:r>
        <w:t xml:space="preserve">, the system’s impact level is the highest value for any of the three objectives, and it selects the matching SP 800-53B baseline.</w:t>
      </w:r>
    </w:p>
    <w:p>
      <w:pPr>
        <w:pStyle w:val="Compact"/>
        <w:numPr>
          <w:ilvl w:val="0"/>
          <w:numId w:val="1001"/>
        </w:numPr>
      </w:pPr>
      <w:r>
        <w:t xml:space="preserve">Record the SP 800-60 identifier of each information type in the register.</w:t>
      </w:r>
    </w:p>
    <w:p>
      <w:pPr>
        <w:pStyle w:val="Compact"/>
        <w:numPr>
          <w:ilvl w:val="0"/>
          <w:numId w:val="1001"/>
        </w:numPr>
      </w:pPr>
      <w:r>
        <w:t xml:space="preserve">Record each provisional impact level from SP 800-60 Volume 2, and any change from it, with the reason.</w:t>
      </w:r>
    </w:p>
    <w:bookmarkEnd w:id="18"/>
    <w:bookmarkEnd w:id="19"/>
    <w:bookmarkStart w:id="20" w:name="review-and-approval"/>
    <w:p>
      <w:pPr>
        <w:pStyle w:val="Heading2"/>
      </w:pPr>
      <w:r>
        <w:t xml:space="preserve">5. Review and approval</w:t>
      </w:r>
    </w:p>
    <w:p>
      <w:pPr>
        <w:pStyle w:val="FirstParagraph"/>
      </w:pPr>
      <w:r>
        <w:t xml:space="preserve">The authorizing official, or a designated representative, reviews and approves the categorization (RA-2c).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Decision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  <w:r>
              <w:t xml:space="preserve">Submitted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authorizing official or designated representative]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approved, or returned with comments]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p>
      <w:pPr>
        <w:pStyle w:val="BodyText"/>
      </w:pPr>
      <w:r>
        <w:t xml:space="preserve">Review this worksheet whenever the system, the information it handles or its environment of operation changes significantly.</w:t>
      </w:r>
    </w:p>
    <w:bookmarkEnd w:id="20"/>
    <w:bookmarkStart w:id="21" w:name="register"/>
    <w:p>
      <w:pPr>
        <w:pStyle w:val="Heading2"/>
      </w:pPr>
      <w:r>
        <w:t xml:space="preserve">Register</w:t>
      </w:r>
    </w:p>
    <w:p>
      <w:pPr>
        <w:pStyle w:val="FirstParagraph"/>
      </w:pPr>
      <w:r>
        <w:t xml:space="preserve">One row per information type.</w:t>
      </w:r>
      <w:r>
        <w:t xml:space="preserve"> </w:t>
      </w:r>
      <w:r>
        <w:t xml:space="preserve">“Provisional levels”</w:t>
      </w:r>
      <w:r>
        <w:t xml:space="preserve"> </w:t>
      </w:r>
      <w:r>
        <w:t xml:space="preserve">are the starting ratings from a catalog such as SP 800-60 Volume 2, where one is used; leave blank otherwise.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Information type</w:t>
            </w:r>
          </w:p>
        </w:tc>
        <w:tc>
          <w:tcPr/>
          <w:p>
            <w:pPr>
              <w:pStyle w:val="Compact"/>
            </w:pPr>
            <w:r>
              <w:t xml:space="preserve">Catalog identifier</w:t>
            </w:r>
          </w:p>
        </w:tc>
        <w:tc>
          <w:tcPr/>
          <w:p>
            <w:pPr>
              <w:pStyle w:val="Compact"/>
            </w:pPr>
            <w:r>
              <w:t xml:space="preserve">Provisional levels (C, I, A)</w:t>
            </w:r>
          </w:p>
        </w:tc>
        <w:tc>
          <w:tcPr/>
          <w:p>
            <w:pPr>
              <w:pStyle w:val="Compact"/>
            </w:pPr>
            <w:r>
              <w:t xml:space="preserve">Confidentiality</w:t>
            </w:r>
          </w:p>
        </w:tc>
        <w:tc>
          <w:tcPr/>
          <w:p>
            <w:pPr>
              <w:pStyle w:val="Compact"/>
            </w:pPr>
            <w:r>
              <w:t xml:space="preserve">Integrity</w:t>
            </w:r>
          </w:p>
        </w:tc>
        <w:tc>
          <w:tcPr/>
          <w:p>
            <w:pPr>
              <w:pStyle w:val="Compact"/>
            </w:pPr>
            <w:r>
              <w:t xml:space="preserve">Availability</w:t>
            </w:r>
          </w:p>
        </w:tc>
        <w:tc>
          <w:tcPr/>
          <w:p>
            <w:pPr>
              <w:pStyle w:val="Compact"/>
            </w:pPr>
            <w:r>
              <w:t xml:space="preserve">Rationale and adjustments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information type]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identifier, if any]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provisional levels, if any]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low, moderate, high or not applicable]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low, moderate or high]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low, moderate or high]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why, and any adjustment]</w:t>
            </w:r>
          </w:p>
        </w:tc>
      </w:tr>
    </w:tbl>
    <w:bookmarkEnd w:id="21"/>
    <w:bookmarkEnd w:id="22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Security Categorization Worksheet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4" Target="https://csrc.nist.gov/pubs/fips/199/final" TargetMode="External" /><Relationship Type="http://schemas.openxmlformats.org/officeDocument/2006/relationships/hyperlink" Id="rId17" Target="https://csrc.nist.gov/pubs/fips/200/final" TargetMode="External" /><Relationship Type="http://schemas.openxmlformats.org/officeDocument/2006/relationships/hyperlink" Id="rId15" Target="https://csrc.nist.gov/pubs/sp/800/60/v1/r1/final" TargetMode="External" /><Relationship Type="http://schemas.openxmlformats.org/officeDocument/2006/relationships/hyperlink" Id="rId16" Target="https://csrc.nist.gov/pubs/sp/800/60/v2/r1/final" TargetMode="External" /><Relationship Type="http://schemas.openxmlformats.org/officeDocument/2006/relationships/hyperlink" Id="rId9" Target="https://kston83.github.io/nist-guide/templates/forms/security-categorization-workshe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4" Target="https://csrc.nist.gov/pubs/fips/199/final" TargetMode="External" /><Relationship Type="http://schemas.openxmlformats.org/officeDocument/2006/relationships/hyperlink" Id="rId17" Target="https://csrc.nist.gov/pubs/fips/200/final" TargetMode="External" /><Relationship Type="http://schemas.openxmlformats.org/officeDocument/2006/relationships/hyperlink" Id="rId15" Target="https://csrc.nist.gov/pubs/sp/800/60/v1/r1/final" TargetMode="External" /><Relationship Type="http://schemas.openxmlformats.org/officeDocument/2006/relationships/hyperlink" Id="rId16" Target="https://csrc.nist.gov/pubs/sp/800/60/v2/r1/final" TargetMode="External" /><Relationship Type="http://schemas.openxmlformats.org/officeDocument/2006/relationships/hyperlink" Id="rId9" Target="https://kston83.github.io/nist-guide/templates/forms/security-categorization-workshe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