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visitor-log"/>
    <w:p>
      <w:pPr>
        <w:pStyle w:val="Heading1"/>
      </w:pPr>
      <w:r>
        <w:t xml:space="preserve">Visitor Log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https://kston83.github.io/nist-guide/templates/forms/visitor-log/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Keep one log for each facility entrance where visitors are received. An electronic visitor management system can hold it instead, which is how PE-8(1) is usually met for a High system, as long as each record holds the fields below. NIST’s PE-8 discussion says records are not required for publicly accessible areas, and that people with permanent credentials are not visitors: they belong on the</w:t>
      </w:r>
      <w:r>
        <w:t xml:space="preserve"> </w:t>
      </w:r>
      <w:hyperlink r:id="rId11">
        <w:r>
          <w:rPr>
            <w:rStyle w:val="Hyperlink"/>
          </w:rPr>
          <w:t xml:space="preserve">physical access list</w:t>
        </w:r>
      </w:hyperlink>
      <w:r>
        <w:t xml:space="preserve">. Maintenance personnel who visit to work on the system also appear in the</w:t>
      </w:r>
      <w:r>
        <w:t xml:space="preserve"> </w:t>
      </w:r>
      <w:hyperlink r:id="rId12">
        <w:r>
          <w:rPr>
            <w:rStyle w:val="Hyperlink"/>
          </w:rPr>
          <w:t xml:space="preserve">maintenance log</w:t>
        </w:r>
      </w:hyperlink>
      <w:r>
        <w:t xml:space="preserve">, which records their escort for the work itself. Assessors pick a few dates, ask for that day’s records and check that each visitor had an escort and a departure time. The register at the end is also downloadable as a CSV file.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Facility and entrance</w:t>
            </w:r>
          </w:p>
        </w:tc>
        <w:tc>
          <w:tcPr/>
          <w:p>
            <w:pPr>
              <w:pStyle w:val="Compact"/>
            </w:pPr>
            <w:r>
              <w:t xml:space="preserve">Log owner</w:t>
            </w:r>
          </w:p>
        </w:tc>
        <w:tc>
          <w:tcPr/>
          <w:p>
            <w:pPr>
              <w:pStyle w:val="Compact"/>
            </w:pPr>
            <w:r>
              <w:t xml:space="preserve">Records kept for</w:t>
            </w:r>
          </w:p>
        </w:tc>
        <w:tc>
          <w:tcPr/>
          <w:p>
            <w:pPr>
              <w:pStyle w:val="Compact"/>
            </w:pPr>
            <w:r>
              <w:t xml:space="preserve">Last reviewed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facility and entrance]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[Facilities manager]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 period for which to maintain visitor access records for the facility where the system resides. Typical: 2 years, or longer where the organization’s records retention schedule requires]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4" w:name="how-to-use-this-log"/>
    <w:p>
      <w:pPr>
        <w:pStyle w:val="Heading2"/>
      </w:pPr>
      <w:r>
        <w:t xml:space="preserve">1. How to use this log</w:t>
      </w:r>
    </w:p>
    <w:p>
      <w:pPr>
        <w:pStyle w:val="Compact"/>
        <w:numPr>
          <w:ilvl w:val="0"/>
          <w:numId w:val="1001"/>
        </w:numPr>
      </w:pPr>
      <w:r>
        <w:t xml:space="preserve">Record every visitor to a non-public area when they arrive, check their identification, and issue a visitor badge that looks different from permanent badges and is valid only for that day (PE-8a, PE-3d).</w:t>
      </w:r>
    </w:p>
    <w:p>
      <w:pPr>
        <w:pStyle w:val="Compact"/>
        <w:numPr>
          <w:ilvl w:val="0"/>
          <w:numId w:val="1001"/>
        </w:numPr>
      </w:pPr>
      <w:r>
        <w:t xml:space="preserve">Escort and control visitors</w:t>
      </w:r>
      <w:r>
        <w:t xml:space="preserve"> </w:t>
      </w:r>
      <w:r>
        <w:rPr>
          <w:rStyle w:val="Fill-in"/>
        </w:rPr>
        <w:t xml:space="preserve">[Fill in: circumstances requiring visitor escorts and control of visitor activity. Typical: at all times in non-public areas, for every visitor and for anyone without a physical access authorization for the area, including maintenance personnel who are not on the authorized maintenance list]</w:t>
      </w:r>
      <w:r>
        <w:t xml:space="preserve">. Record the escort; the escort stays with the visitor until they leave the non-public area (PE-3d).</w:t>
      </w:r>
    </w:p>
    <w:p>
      <w:pPr>
        <w:pStyle w:val="Compact"/>
        <w:numPr>
          <w:ilvl w:val="0"/>
          <w:numId w:val="1001"/>
        </w:numPr>
      </w:pPr>
      <w:r>
        <w:t xml:space="preserve">Record the departure time and collect the badge when the visitor leaves. A badge that is not returned is disabled and reported as an anomaly.</w:t>
      </w:r>
    </w:p>
    <w:p>
      <w:pPr>
        <w:pStyle w:val="Compact"/>
        <w:numPr>
          <w:ilvl w:val="0"/>
          <w:numId w:val="1001"/>
        </w:numPr>
      </w:pPr>
      <w:r>
        <w:t xml:space="preserve">Keep the records for</w:t>
      </w:r>
      <w:r>
        <w:t xml:space="preserve"> </w:t>
      </w:r>
      <w:r>
        <w:rPr>
          <w:rStyle w:val="Fill-in"/>
        </w:rPr>
        <w:t xml:space="preserve">[Fill in: time period for which to maintain visitor access records for the facility where the system resides. Typical: 2 years, or longer where the organization’s records retention schedule requires]</w:t>
      </w:r>
      <w:r>
        <w:t xml:space="preserve"> </w:t>
      </w:r>
      <w:r>
        <w:t xml:space="preserve">(PE-8a).</w:t>
      </w:r>
    </w:p>
    <w:p>
      <w:pPr>
        <w:pStyle w:val="Compact"/>
        <w:numPr>
          <w:ilvl w:val="0"/>
          <w:numId w:val="1001"/>
        </w:numPr>
      </w:pPr>
      <w:r>
        <w:t xml:space="preserve">Review the records</w:t>
      </w:r>
      <w:r>
        <w:t xml:space="preserve"> </w:t>
      </w:r>
      <w:r>
        <w:rPr>
          <w:rStyle w:val="Fill-in"/>
        </w:rPr>
        <w:t xml:space="preserve">[Fill in: the frequency at which to review visitor access records. Typical: at least monthly]</w:t>
      </w:r>
      <w:r>
        <w:t xml:space="preserve"> </w:t>
      </w:r>
      <w:r>
        <w:t xml:space="preserve">and record the review in section 3 (PE-8b).</w:t>
      </w:r>
    </w:p>
    <w:p>
      <w:pPr>
        <w:pStyle w:val="Compact"/>
        <w:numPr>
          <w:ilvl w:val="0"/>
          <w:numId w:val="1001"/>
        </w:numPr>
      </w:pPr>
      <w:r>
        <w:t xml:space="preserve">Report anomalies to</w:t>
      </w:r>
      <w:r>
        <w:t xml:space="preserve"> </w:t>
      </w:r>
      <w:r>
        <w:rPr>
          <w:rStyle w:val="Fill-in"/>
        </w:rPr>
        <w:t xml:space="preserve">[Fill in: personnel to whom visitor access records anomalies are reported to. Typical: the facilities manager and the security operations team]</w:t>
      </w:r>
      <w:r>
        <w:t xml:space="preserve"> </w:t>
      </w:r>
      <w:r>
        <w:t xml:space="preserve">(PE-8c). An anomaly that suggests a security incident is reported under the</w:t>
      </w:r>
      <w:r>
        <w:t xml:space="preserve"> </w:t>
      </w:r>
      <w:hyperlink r:id="rId13">
        <w:r>
          <w:rPr>
            <w:rStyle w:val="Hyperlink"/>
          </w:rPr>
          <w:t xml:space="preserve">incident response plan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 person who visits so often that they need regular access should be authorized under PE-2 and added to the physical access list instead.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Visit ID</w:t>
            </w:r>
          </w:p>
        </w:tc>
        <w:tc>
          <w:tcPr/>
          <w:p>
            <w:pPr>
              <w:pStyle w:val="Compact"/>
            </w:pPr>
            <w:r>
              <w:t xml:space="preserve">A unique ID, or the line number on a paper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Date of the visit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Visitor</w:t>
            </w:r>
          </w:p>
        </w:tc>
        <w:tc>
          <w:tcPr/>
          <w:p>
            <w:pPr>
              <w:pStyle w:val="Compact"/>
            </w:pPr>
            <w:r>
              <w:t xml:space="preserve">Name and organization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Identification checked</w:t>
            </w:r>
          </w:p>
        </w:tc>
        <w:tc>
          <w:tcPr/>
          <w:p>
            <w:pPr>
              <w:pStyle w:val="Compact"/>
            </w:pPr>
            <w:r>
              <w:t xml:space="preserve">The type of identification checked, for example a driver’s license or a government ID card; not its number, unless section 2 allows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 visited</w:t>
            </w:r>
          </w:p>
        </w:tc>
        <w:tc>
          <w:tcPr/>
          <w:p>
            <w:pPr>
              <w:pStyle w:val="Compact"/>
            </w:pPr>
            <w:r>
              <w:t xml:space="preserve">Name and organization of the person visited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Why the visitor came, for example a meeting, a delivery or maintenance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Areas</w:t>
            </w:r>
          </w:p>
        </w:tc>
        <w:tc>
          <w:tcPr/>
          <w:p>
            <w:pPr>
              <w:pStyle w:val="Compact"/>
            </w:pPr>
            <w:r>
              <w:t xml:space="preserve">The non-public areas the visitor entered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Badge</w:t>
            </w:r>
          </w:p>
        </w:tc>
        <w:tc>
          <w:tcPr/>
          <w:p>
            <w:pPr>
              <w:pStyle w:val="Compact"/>
            </w:pPr>
            <w:r>
              <w:t xml:space="preserve">The visitor badge number issued, and whether it was returned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Escort</w:t>
            </w:r>
          </w:p>
        </w:tc>
        <w:tc>
          <w:tcPr/>
          <w:p>
            <w:pPr>
              <w:pStyle w:val="Compact"/>
            </w:pPr>
            <w:r>
              <w:t xml:space="preserve">Name of the employee who escorted the visitor (PE-3d)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Entry and departure</w:t>
            </w:r>
          </w:p>
        </w:tc>
        <w:tc>
          <w:tcPr/>
          <w:p>
            <w:pPr>
              <w:pStyle w:val="Compact"/>
            </w:pPr>
            <w:r>
              <w:t xml:space="preserve">Times of entry and departure</w:t>
            </w:r>
          </w:p>
        </w:tc>
      </w:tr>
    </w:tbl>
    <w:bookmarkEnd w:id="14"/>
    <w:bookmarkStart w:id="19" w:name="X6e4a1ec2f764e38d5a0a3066e30387c5d55e2f2"/>
    <w:p>
      <w:pPr>
        <w:pStyle w:val="Heading2"/>
      </w:pPr>
      <w:r>
        <w:t xml:space="preserve">2. Limits on personally identifiable information</w:t>
      </w:r>
    </w:p>
    <w:p>
      <w:pPr>
        <w:pStyle w:val="FirstParagraph"/>
      </w:pPr>
      <w:r>
        <w:t xml:space="preserve">For a facility whose systems are under the Privacy baseline, the log collects only these elements, identified in the privacy risk assessment:</w:t>
      </w:r>
      <w:r>
        <w:t xml:space="preserve"> </w:t>
      </w:r>
      <w:r>
        <w:rPr>
          <w:rStyle w:val="Fill-in"/>
        </w:rPr>
        <w:t xml:space="preserve">[Fill in: elements identified in the privacy risk assessment to limit personally identifiable information contained in visitor access logs. Typical: the visitor’s name and organization, the person visited, the purpose of the visit, the date and times of entry and departure, the badge issued and the escort; the type of identification checked, but not its number or a copy of it unless a law or regulation requires one]</w:t>
      </w:r>
      <w:r>
        <w:t xml:space="preserve"> </w:t>
      </w:r>
      <w:r>
        <w:t xml:space="preserve">(PE-8(3)). Record the decision in the minimization entry of the</w:t>
      </w:r>
      <w:r>
        <w:t xml:space="preserve"> </w:t>
      </w:r>
      <w:hyperlink r:id="rId15">
        <w:r>
          <w:rPr>
            <w:rStyle w:val="Hyperlink"/>
          </w:rPr>
          <w:t xml:space="preserve">privacy impact assessment</w:t>
        </w:r>
      </w:hyperlink>
      <w:r>
        <w:t xml:space="preserve">, and remove any field, form or system setting that collects anything else. On a paper log, use one sheet per visitor, or a cover, so that visitors cannot read earlier entries.</w:t>
      </w:r>
    </w:p>
    <w:bookmarkStart w:id="18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The National Archives and Records Administration’s</w:t>
      </w:r>
      <w:r>
        <w:t xml:space="preserve"> </w:t>
      </w:r>
      <w:hyperlink r:id="rId16">
        <w:r>
          <w:rPr>
            <w:rStyle w:val="Hyperlink"/>
          </w:rPr>
          <w:t xml:space="preserve">General Records Schedule 5.6</w:t>
        </w:r>
      </w:hyperlink>
      <w:r>
        <w:t xml:space="preserve"> </w:t>
      </w:r>
      <w:r>
        <w:t xml:space="preserve">(GRS Transmittal 35, May 2024), items 110 and 111, covers visitor processing records: destroy when 5 years old for areas requiring the highest level of security awareness, including Facility Security Level V, and when 2 years old for all other facility security areas, including Facility Security Levels I to IV, with longer retention allowed if required for business use. Under the Privacy Act, records retrieved by an individual’s name or other identifier are a system of records (</w:t>
      </w:r>
      <w:hyperlink r:id="rId17">
        <w:r>
          <w:rPr>
            <w:rStyle w:val="Hyperlink"/>
          </w:rPr>
          <w:t xml:space="preserve">5 U.S.C. § 552a(a)(5)</w:t>
        </w:r>
      </w:hyperlink>
      <w:r>
        <w:t xml:space="preserve">), and an agency must give each individual it asks for information in one the notice that</w:t>
      </w:r>
      <w:r>
        <w:t xml:space="preserve"> </w:t>
      </w:r>
      <w:hyperlink r:id="rId17">
        <w:r>
          <w:rPr>
            <w:rStyle w:val="Hyperlink"/>
          </w:rPr>
          <w:t xml:space="preserve">§ 552a(e)(3)</w:t>
        </w:r>
      </w:hyperlink>
      <w:r>
        <w:t xml:space="preserve"> </w:t>
      </w:r>
      <w:r>
        <w:t xml:space="preserve">describes. As of October 2026.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t xml:space="preserve">“Records kept for”</w:t>
      </w:r>
      <w:r>
        <w:t xml:space="preserve"> </w:t>
      </w:r>
      <w:r>
        <w:t xml:space="preserve">value shall be at least 5 years for a Facility Security Level V facility and at least 2 years for any other, as GRS 5.6 items 110 and 111 set, unless the agency’s approved records schedule sets a different period. (PE-8a)</w:t>
      </w:r>
    </w:p>
    <w:p>
      <w:pPr>
        <w:pStyle w:val="Compact"/>
        <w:numPr>
          <w:ilvl w:val="0"/>
          <w:numId w:val="1002"/>
        </w:numPr>
      </w:pPr>
      <w:r>
        <w:t xml:space="preserve">Where the log is retrieved by a visitor’s name or other identifier, it shall be covered by a published system of records notice, and the sign-in form or visitor management system shall present the Privacy Act statement that 5 U.S.C. § 552a(e)(3) requires. (PE-8(3))</w:t>
      </w:r>
    </w:p>
    <w:bookmarkEnd w:id="18"/>
    <w:bookmarkEnd w:id="19"/>
    <w:bookmarkStart w:id="20" w:name="reviews"/>
    <w:p>
      <w:pPr>
        <w:pStyle w:val="Heading2"/>
      </w:pPr>
      <w:r>
        <w:t xml:space="preserve">3. Reviews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Review date</w:t>
            </w:r>
          </w:p>
        </w:tc>
        <w:tc>
          <w:tcPr/>
          <w:p>
            <w:pPr>
              <w:pStyle w:val="Compact"/>
            </w:pPr>
            <w:r>
              <w:t xml:space="preserve">Reviewed by</w:t>
            </w:r>
          </w:p>
        </w:tc>
        <w:tc>
          <w:tcPr/>
          <w:p>
            <w:pPr>
              <w:pStyle w:val="Compact"/>
            </w:pPr>
            <w:r>
              <w:t xml:space="preserve">Period covered</w:t>
            </w:r>
          </w:p>
        </w:tc>
        <w:tc>
          <w:tcPr/>
          <w:p>
            <w:pPr>
              <w:pStyle w:val="Compact"/>
            </w:pPr>
            <w:r>
              <w:t xml:space="preserve">Checks (missing departure times, badges not returned, visits outside hours, no escort, repeat visitors)</w:t>
            </w:r>
          </w:p>
        </w:tc>
        <w:tc>
          <w:tcPr/>
          <w:p>
            <w:pPr>
              <w:pStyle w:val="Compact"/>
            </w:pPr>
            <w:r>
              <w:t xml:space="preserve">Anomalies found, and to whom reported</w:t>
            </w:r>
          </w:p>
        </w:tc>
        <w:tc>
          <w:tcPr/>
          <w:p>
            <w:pPr>
              <w:pStyle w:val="Compact"/>
            </w:pPr>
            <w:r>
              <w:t xml:space="preserve">Next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checks done]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anomalies and report date, or</w:t>
            </w:r>
            <w:r>
              <w:rPr>
                <w:rStyle w:val="Fill-in"/>
              </w:rPr>
              <w:t xml:space="preserve"> </w:t>
            </w:r>
            <w:r>
              <w:rPr>
                <w:rStyle w:val="Fill-in"/>
              </w:rPr>
              <w:t xml:space="preserve">“none”</w:t>
            </w:r>
            <w:r>
              <w:rPr>
                <w:rStyle w:val="Fill-in"/>
              </w:rPr>
              <w:t xml:space="preserve">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0"/>
    <w:bookmarkStart w:id="21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Visit ID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Visitor</w:t>
            </w:r>
          </w:p>
        </w:tc>
        <w:tc>
          <w:tcPr/>
          <w:p>
            <w:pPr>
              <w:pStyle w:val="Compact"/>
            </w:pPr>
            <w:r>
              <w:t xml:space="preserve">Identification checked</w:t>
            </w:r>
          </w:p>
        </w:tc>
        <w:tc>
          <w:tcPr/>
          <w:p>
            <w:pPr>
              <w:pStyle w:val="Compact"/>
            </w:pPr>
            <w:r>
              <w:t xml:space="preserve">Person visited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Areas</w:t>
            </w:r>
          </w:p>
        </w:tc>
        <w:tc>
          <w:tcPr/>
          <w:p>
            <w:pPr>
              <w:pStyle w:val="Compact"/>
            </w:pPr>
            <w:r>
              <w:t xml:space="preserve">Badge</w:t>
            </w:r>
          </w:p>
        </w:tc>
        <w:tc>
          <w:tcPr/>
          <w:p>
            <w:pPr>
              <w:pStyle w:val="Compact"/>
            </w:pPr>
            <w:r>
              <w:t xml:space="preserve">Escort</w:t>
            </w:r>
          </w:p>
        </w:tc>
        <w:tc>
          <w:tcPr/>
          <w:p>
            <w:pPr>
              <w:pStyle w:val="Compact"/>
            </w:pPr>
            <w:r>
              <w:t xml:space="preserve">Entry and departure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organization]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 of identification]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organization]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purpose]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areas]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badge number, returned or not]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times]</w:t>
            </w:r>
          </w:p>
        </w:tc>
      </w:tr>
    </w:tbl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Visitor Log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2" Target="https://kston83.github.io/nist-guide/templates/forms/maintenance-log/" TargetMode="External" /><Relationship Type="http://schemas.openxmlformats.org/officeDocument/2006/relationships/hyperlink" Id="rId11" Target="https://kston83.github.io/nist-guide/templates/forms/physical-access-list/" TargetMode="External" /><Relationship Type="http://schemas.openxmlformats.org/officeDocument/2006/relationships/hyperlink" Id="rId9" Target="https://kston83.github.io/nist-guide/templates/forms/visitor-log/" TargetMode="External" /><Relationship Type="http://schemas.openxmlformats.org/officeDocument/2006/relationships/hyperlink" Id="rId13" Target="https://kston83.github.io/nist-guide/templates/plans/incident-response-plan/" TargetMode="External" /><Relationship Type="http://schemas.openxmlformats.org/officeDocument/2006/relationships/hyperlink" Id="rId15" Target="https://kston83.github.io/nist-guide/templates/reports/privacy-impact-assessment/" TargetMode="External" /><Relationship Type="http://schemas.openxmlformats.org/officeDocument/2006/relationships/hyperlink" Id="rId17" Target="https://uscode.house.gov/view.xhtml?req=granuleid:USC-prelim-title5-section552a&amp;num=0&amp;edition=prelim" TargetMode="External" /><Relationship Type="http://schemas.openxmlformats.org/officeDocument/2006/relationships/hyperlink" Id="rId16" Target="https://www.archives.gov/files/records-mgmt/grs/grs05-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2" Target="https://kston83.github.io/nist-guide/templates/forms/maintenance-log/" TargetMode="External" /><Relationship Type="http://schemas.openxmlformats.org/officeDocument/2006/relationships/hyperlink" Id="rId11" Target="https://kston83.github.io/nist-guide/templates/forms/physical-access-list/" TargetMode="External" /><Relationship Type="http://schemas.openxmlformats.org/officeDocument/2006/relationships/hyperlink" Id="rId9" Target="https://kston83.github.io/nist-guide/templates/forms/visitor-log/" TargetMode="External" /><Relationship Type="http://schemas.openxmlformats.org/officeDocument/2006/relationships/hyperlink" Id="rId13" Target="https://kston83.github.io/nist-guide/templates/plans/incident-response-plan/" TargetMode="External" /><Relationship Type="http://schemas.openxmlformats.org/officeDocument/2006/relationships/hyperlink" Id="rId15" Target="https://kston83.github.io/nist-guide/templates/reports/privacy-impact-assessment/" TargetMode="External" /><Relationship Type="http://schemas.openxmlformats.org/officeDocument/2006/relationships/hyperlink" Id="rId17" Target="https://uscode.house.gov/view.xhtml?req=granuleid:USC-prelim-title5-section552a&amp;num=0&amp;edition=prelim" TargetMode="External" /><Relationship Type="http://schemas.openxmlformats.org/officeDocument/2006/relationships/hyperlink" Id="rId16" Target="https://www.archives.gov/files/records-mgmt/grs/grs05-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