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continuous-monitoring-strategy"/>
    <w:p>
      <w:pPr>
        <w:pStyle w:val="Heading1"/>
      </w:pPr>
      <w:r>
        <w:t xml:space="preserve">Continuous Monitoring Strategy</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https://kston83.github.io/nist-guide/templates/plans/continuous-monitoring-strategy/</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Scope</w:t>
            </w:r>
          </w:p>
        </w:tc>
        <w:tc>
          <w:tcPr/>
          <w:p>
            <w:pPr>
              <w:pStyle w:val="Compact"/>
            </w:pPr>
            <w:r>
              <w:t xml:space="preserve">System (Part B only)</w:t>
            </w:r>
          </w:p>
        </w:tc>
        <w:tc>
          <w:tcPr/>
          <w:p>
            <w:pPr>
              <w:pStyle w:val="Compact"/>
            </w:pPr>
            <w:r>
              <w:t xml:space="preserve">Version</w:t>
            </w:r>
          </w:p>
        </w:tc>
        <w:tc>
          <w:tcPr/>
          <w:p>
            <w:pPr>
              <w:pStyle w:val="Compact"/>
            </w:pPr>
            <w:r>
              <w:t xml:space="preserve">Owner</w:t>
            </w:r>
          </w:p>
        </w:tc>
        <w:tc>
          <w:tcPr/>
          <w:p>
            <w:pPr>
              <w:pStyle w:val="Compact"/>
            </w:pPr>
            <w:r>
              <w:t xml:space="preserve">Approved by</w:t>
            </w:r>
          </w:p>
        </w:tc>
        <w:tc>
          <w:tcPr/>
          <w:p>
            <w:pPr>
              <w:pStyle w:val="Compact"/>
            </w:pPr>
            <w:r>
              <w:t xml:space="preserve">Approval date</w:t>
            </w:r>
          </w:p>
        </w:tc>
      </w:tr>
      <w:tr>
        <w:tc>
          <w:tcPr/>
          <w:p>
            <w:pPr>
              <w:pStyle w:val="Compact"/>
            </w:pPr>
            <w:r>
              <w:rPr>
                <w:rStyle w:val="Fill-in"/>
              </w:rPr>
              <w:t xml:space="preserve">[Fill in: organization-wide, system-level, or both]</w:t>
            </w:r>
          </w:p>
        </w:tc>
        <w:tc>
          <w:tcPr/>
          <w:p>
            <w:pPr>
              <w:pStyle w:val="Compact"/>
            </w:pPr>
            <w:r>
              <w:rPr>
                <w:rStyle w:val="Fill-in"/>
              </w:rPr>
              <w:t xml:space="preserve">[Fill in: system name and identifier]</w:t>
            </w:r>
          </w:p>
        </w:tc>
        <w:tc>
          <w:tcPr/>
          <w:p>
            <w:pPr>
              <w:pStyle w:val="Compact"/>
            </w:pPr>
            <w:r>
              <w:rPr>
                <w:rStyle w:val="Fill-in"/>
              </w:rPr>
              <w:t xml:space="preserve">[Fill in: version]</w:t>
            </w:r>
          </w:p>
        </w:tc>
        <w:tc>
          <w:tcPr/>
          <w:p>
            <w:pPr>
              <w:pStyle w:val="Compact"/>
            </w:pPr>
            <w:r>
              <w:rPr>
                <w:rStyle w:val="Fill-in"/>
              </w:rPr>
              <w:t xml:space="preserve">[Fill in: the Chief Information Security Officer for Part A; the system owner for Part B]</w:t>
            </w:r>
          </w:p>
        </w:tc>
        <w:tc>
          <w:tcPr/>
          <w:p>
            <w:pPr>
              <w:pStyle w:val="Compact"/>
            </w:pPr>
            <w:r>
              <w:rPr>
                <w:rStyle w:val="Fill-in"/>
              </w:rPr>
              <w:t xml:space="preserve">[Fill in: name and title]</w:t>
            </w:r>
          </w:p>
        </w:tc>
        <w:tc>
          <w:tcPr/>
          <w:p>
            <w:pPr>
              <w:pStyle w:val="Compact"/>
            </w:pPr>
            <w:r>
              <w:rPr>
                <w:rStyle w:val="Fill-in"/>
              </w:rPr>
              <w:t xml:space="preserve">[Fill in: date]</w:t>
            </w:r>
          </w:p>
        </w:tc>
      </w:tr>
    </w:tbl>
    <w:bookmarkStart w:id="13" w:name="purpose-and-risk-tolerance"/>
    <w:p>
      <w:pPr>
        <w:pStyle w:val="Heading2"/>
      </w:pPr>
      <w:r>
        <w:t xml:space="preserve">1. Purpose and risk tolerance</w:t>
      </w:r>
    </w:p>
    <w:p>
      <w:pPr>
        <w:pStyle w:val="FirstParagraph"/>
      </w:pPr>
      <w:r>
        <w:t xml:space="preserve">This strategy sets how</w:t>
      </w:r>
      <w:r>
        <w:t xml:space="preserve"> </w:t>
      </w:r>
      <w:r>
        <w:rPr>
          <w:rStyle w:val="Fill-in"/>
        </w:rPr>
        <w:t xml:space="preserve">[Organization name]</w:t>
      </w:r>
      <w:r>
        <w:t xml:space="preserve"> </w:t>
      </w:r>
      <w:r>
        <w:t xml:space="preserve">maintains ongoing awareness of the security and privacy of its systems, the effectiveness of their controls, and the threats and vulnerabilities they face, to support risk-based decisions.</w:t>
      </w:r>
    </w:p>
    <w:p>
      <w:pPr>
        <w:pStyle w:val="Compact"/>
        <w:numPr>
          <w:ilvl w:val="0"/>
          <w:numId w:val="1001"/>
        </w:numPr>
      </w:pPr>
      <w:r>
        <w:rPr>
          <w:b/>
          <w:bCs/>
        </w:rPr>
        <w:t xml:space="preserve">Risk tolerance:</w:t>
      </w:r>
      <w:r>
        <w:t xml:space="preserve"> </w:t>
      </w:r>
      <w:r>
        <w:t xml:space="preserve">the tolerance and approval levels in the organization’s</w:t>
      </w:r>
      <w:r>
        <w:t xml:space="preserve"> </w:t>
      </w:r>
      <w:hyperlink r:id="rId11">
        <w:r>
          <w:rPr>
            <w:rStyle w:val="Hyperlink"/>
          </w:rPr>
          <w:t xml:space="preserve">risk management strategy</w:t>
        </w:r>
      </w:hyperlink>
      <w:r>
        <w:t xml:space="preserve"> </w:t>
      </w:r>
      <w:r>
        <w:t xml:space="preserve">apply.</w:t>
      </w:r>
      <w:r>
        <w:t xml:space="preserve"> </w:t>
      </w:r>
      <w:r>
        <w:rPr>
          <w:rStyle w:val="Fill-in"/>
        </w:rPr>
        <w:t xml:space="preserve">[Fill in: any tolerance statements specific to continuous monitoring, for example the metric values that call for escalation]</w:t>
      </w:r>
    </w:p>
    <w:p>
      <w:pPr>
        <w:pStyle w:val="Compact"/>
        <w:numPr>
          <w:ilvl w:val="0"/>
          <w:numId w:val="1001"/>
        </w:numPr>
      </w:pPr>
      <w:r>
        <w:rPr>
          <w:b/>
          <w:bCs/>
        </w:rPr>
        <w:t xml:space="preserve">Coverage:</w:t>
      </w:r>
      <w:r>
        <w:t xml:space="preserve"> </w:t>
      </w:r>
      <w:r>
        <w:t xml:space="preserve">every control selected and implemented for each system in the</w:t>
      </w:r>
      <w:r>
        <w:t xml:space="preserve"> </w:t>
      </w:r>
      <w:hyperlink r:id="rId12">
        <w:r>
          <w:rPr>
            <w:rStyle w:val="Hyperlink"/>
          </w:rPr>
          <w:t xml:space="preserve">system inventory</w:t>
        </w:r>
      </w:hyperlink>
      <w:r>
        <w:t xml:space="preserve">, including common and hybrid controls, is addressed in this strategy and monitored on an ongoing basis.</w:t>
      </w:r>
    </w:p>
    <w:p>
      <w:pPr>
        <w:pStyle w:val="Compact"/>
        <w:numPr>
          <w:ilvl w:val="0"/>
          <w:numId w:val="1001"/>
        </w:numPr>
      </w:pPr>
      <w:r>
        <w:rPr>
          <w:b/>
          <w:bCs/>
        </w:rPr>
        <w:t xml:space="preserve">Privacy:</w:t>
      </w:r>
      <w:r>
        <w:t xml:space="preserve"> </w:t>
      </w:r>
      <w:r>
        <w:t xml:space="preserve">privacy controls are monitored under this strategy, with the</w:t>
      </w:r>
      <w:r>
        <w:t xml:space="preserve"> </w:t>
      </w:r>
      <w:r>
        <w:rPr>
          <w:rStyle w:val="Fill-in"/>
        </w:rPr>
        <w:t xml:space="preserve">[Senior privacy official]</w:t>
      </w:r>
      <w:r>
        <w:t xml:space="preserve"> </w:t>
      </w:r>
      <w:r>
        <w:t xml:space="preserve">responsible for their results.</w:t>
      </w:r>
      <w:r>
        <w:t xml:space="preserve"> </w:t>
      </w:r>
      <w:r>
        <w:rPr>
          <w:rStyle w:val="Fill-in"/>
        </w:rPr>
        <w:t xml:space="preserve">[Fill in: or state that a separate privacy continuous monitoring strategy exists, and where]</w:t>
      </w:r>
    </w:p>
    <w:bookmarkEnd w:id="13"/>
    <w:bookmarkStart w:id="14" w:name="roles-and-responsibilities"/>
    <w:p>
      <w:pPr>
        <w:pStyle w:val="Heading2"/>
      </w:pPr>
      <w:r>
        <w:t xml:space="preserve">2. Roles and responsibilities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 under this strategy</w:t>
            </w:r>
          </w:p>
        </w:tc>
      </w:tr>
      <w:tr>
        <w:tc>
          <w:tcPr/>
          <w:p>
            <w:pPr>
              <w:pStyle w:val="Compact"/>
            </w:pPr>
            <w:r>
              <w:rPr>
                <w:rStyle w:val="Fill-in"/>
              </w:rPr>
              <w:t xml:space="preserve">[Chief Information Security Officer]</w:t>
            </w:r>
          </w:p>
        </w:tc>
        <w:tc>
          <w:tcPr/>
          <w:p>
            <w:pPr>
              <w:pStyle w:val="Compact"/>
            </w:pPr>
            <w:r>
              <w:t xml:space="preserve">Owns Part A; runs the organization-wide monitoring program and its tools; reports security status across systems</w:t>
            </w:r>
          </w:p>
        </w:tc>
      </w:tr>
      <w:tr>
        <w:tc>
          <w:tcPr/>
          <w:p>
            <w:pPr>
              <w:pStyle w:val="Compact"/>
            </w:pPr>
            <w:r>
              <w:rPr>
                <w:rStyle w:val="Fill-in"/>
              </w:rPr>
              <w:t xml:space="preserve">[Senior privacy official]</w:t>
            </w:r>
          </w:p>
        </w:tc>
        <w:tc>
          <w:tcPr/>
          <w:p>
            <w:pPr>
              <w:pStyle w:val="Compact"/>
            </w:pPr>
            <w:r>
              <w:t xml:space="preserve">Sets privacy monitoring requirements; reports privacy status across systems</w:t>
            </w:r>
          </w:p>
        </w:tc>
      </w:tr>
      <w:tr>
        <w:tc>
          <w:tcPr/>
          <w:p>
            <w:pPr>
              <w:pStyle w:val="Compact"/>
            </w:pPr>
            <w:r>
              <w:rPr>
                <w:rStyle w:val="Fill-in"/>
              </w:rPr>
              <w:t xml:space="preserve">[System owner]</w:t>
            </w:r>
          </w:p>
        </w:tc>
        <w:tc>
          <w:tcPr/>
          <w:p>
            <w:pPr>
              <w:pStyle w:val="Compact"/>
            </w:pPr>
            <w:r>
              <w:t xml:space="preserve">Owns Part B for the system; collects and analyzes its data; acts on results; reports its status</w:t>
            </w:r>
          </w:p>
        </w:tc>
      </w:tr>
      <w:tr>
        <w:tc>
          <w:tcPr/>
          <w:p>
            <w:pPr>
              <w:pStyle w:val="Compact"/>
            </w:pPr>
            <w:r>
              <w:t xml:space="preserve">Authorizing official</w:t>
            </w:r>
          </w:p>
        </w:tc>
        <w:tc>
          <w:tcPr/>
          <w:p>
            <w:pPr>
              <w:pStyle w:val="Compact"/>
            </w:pPr>
            <w:r>
              <w:t xml:space="preserve">Receives status reports; accepts or rejects risk; decides on ongoing authorization and reauthorization</w:t>
            </w:r>
          </w:p>
        </w:tc>
      </w:tr>
      <w:tr>
        <w:tc>
          <w:tcPr/>
          <w:p>
            <w:pPr>
              <w:pStyle w:val="Compact"/>
            </w:pPr>
            <w:r>
              <w:t xml:space="preserve">Independent assessors</w:t>
            </w:r>
          </w:p>
        </w:tc>
        <w:tc>
          <w:tcPr/>
          <w:p>
            <w:pPr>
              <w:pStyle w:val="Compact"/>
            </w:pPr>
            <w:r>
              <w:t xml:space="preserve">Carry out the ongoing control assessments (CA-7(1))</w:t>
            </w:r>
          </w:p>
        </w:tc>
      </w:tr>
      <w:tr>
        <w:tc>
          <w:tcPr/>
          <w:p>
            <w:pPr>
              <w:pStyle w:val="Compact"/>
            </w:pPr>
            <w:r>
              <w:rPr>
                <w:rStyle w:val="Fill-in"/>
              </w:rPr>
              <w:t xml:space="preserve">[Security operations team]</w:t>
            </w:r>
          </w:p>
        </w:tc>
        <w:tc>
          <w:tcPr/>
          <w:p>
            <w:pPr>
              <w:pStyle w:val="Compact"/>
            </w:pPr>
            <w:r>
              <w:t xml:space="preserve">Operates the automated monitoring tools and feeds their data into this program</w:t>
            </w:r>
          </w:p>
        </w:tc>
      </w:tr>
      <w:tr>
        <w:tc>
          <w:tcPr/>
          <w:p>
            <w:pPr>
              <w:pStyle w:val="Compact"/>
            </w:pPr>
            <w:r>
              <w:t xml:space="preserve">Common control providers</w:t>
            </w:r>
          </w:p>
        </w:tc>
        <w:tc>
          <w:tcPr/>
          <w:p>
            <w:pPr>
              <w:pStyle w:val="Compact"/>
            </w:pPr>
            <w:r>
              <w:t xml:space="preserve">Monitor and report on the common controls they provide, on the same schedule</w:t>
            </w:r>
          </w:p>
        </w:tc>
      </w:tr>
    </w:tbl>
    <w:bookmarkEnd w:id="14"/>
    <w:bookmarkStart w:id="18" w:name="part-a.-organization-wide-strategy"/>
    <w:p>
      <w:pPr>
        <w:pStyle w:val="Heading2"/>
      </w:pPr>
      <w:r>
        <w:t xml:space="preserve">Part A. Organization-wide strategy</w:t>
      </w:r>
    </w:p>
    <w:bookmarkStart w:id="15" w:name="Xcd6f965b1d4932e96a46d037426f9cab1b95fbd"/>
    <w:p>
      <w:pPr>
        <w:pStyle w:val="Heading3"/>
      </w:pPr>
      <w:r>
        <w:t xml:space="preserve">3. Organization-wide metrics and frequencies</w:t>
      </w:r>
    </w:p>
    <w:p>
      <w:pPr>
        <w:pStyle w:val="FirstParagraph"/>
      </w:pPr>
      <w:r>
        <w:t xml:space="preserve">The organization-wide continuous monitoring programs:</w:t>
      </w:r>
    </w:p>
    <w:p>
      <w:pPr>
        <w:pStyle w:val="Compact"/>
        <w:numPr>
          <w:ilvl w:val="0"/>
          <w:numId w:val="1002"/>
        </w:numPr>
      </w:pPr>
      <w:r>
        <w:t xml:space="preserve">monitor these organization-wide metrics:</w:t>
      </w:r>
      <w:r>
        <w:t xml:space="preserve"> </w:t>
      </w:r>
      <w:r>
        <w:rPr>
          <w:rStyle w:val="Fill-in"/>
        </w:rPr>
        <w:t xml:space="preserve">[Fill in: the metrics for organization-wide continuous monitoring. Typical: systems with a current authorization, plan of action items past due, vulnerabilities remediated within the required times, and staff with current security awareness training]</w:t>
      </w:r>
      <w:r>
        <w:t xml:space="preserve"> </w:t>
      </w:r>
      <w:r>
        <w:t xml:space="preserve">(PM-31a);</w:t>
      </w:r>
    </w:p>
    <w:p>
      <w:pPr>
        <w:pStyle w:val="Compact"/>
        <w:numPr>
          <w:ilvl w:val="0"/>
          <w:numId w:val="1002"/>
        </w:numPr>
      </w:pPr>
      <w:r>
        <w:t xml:space="preserve">monitor control effectiveness</w:t>
      </w:r>
      <w:r>
        <w:t xml:space="preserve"> </w:t>
      </w:r>
      <w:r>
        <w:rPr>
          <w:rStyle w:val="Fill-in"/>
        </w:rPr>
        <w:t xml:space="preserve">[Fill in: the frequencies for monitoring. Typical: continuously for automated controls, and at least monthly for vulnerability, configuration and account data]</w:t>
      </w:r>
      <w:r>
        <w:t xml:space="preserve"> </w:t>
      </w:r>
      <w:r>
        <w:t xml:space="preserve">(PM-31b);</w:t>
      </w:r>
    </w:p>
    <w:p>
      <w:pPr>
        <w:pStyle w:val="Compact"/>
        <w:numPr>
          <w:ilvl w:val="0"/>
          <w:numId w:val="1002"/>
        </w:numPr>
      </w:pPr>
      <w:r>
        <w:t xml:space="preserve">assess control effectiveness</w:t>
      </w:r>
      <w:r>
        <w:t xml:space="preserve"> </w:t>
      </w:r>
      <w:r>
        <w:rPr>
          <w:rStyle w:val="Fill-in"/>
        </w:rPr>
        <w:t xml:space="preserve">[Fill in: the frequencies for assessing control effectiveness. Typical: a third of each system’s controls each year, so every control is assessed at least every three years]</w:t>
      </w:r>
      <w:r>
        <w:t xml:space="preserve"> </w:t>
      </w:r>
      <w:r>
        <w:t xml:space="preserve">(PM-31b);</w:t>
      </w:r>
    </w:p>
    <w:p>
      <w:pPr>
        <w:pStyle w:val="Compact"/>
        <w:numPr>
          <w:ilvl w:val="0"/>
          <w:numId w:val="1002"/>
        </w:numPr>
      </w:pPr>
      <w:r>
        <w:t xml:space="preserve">report the security status of organizational systems to</w:t>
      </w:r>
      <w:r>
        <w:t xml:space="preserve"> </w:t>
      </w:r>
      <w:r>
        <w:rPr>
          <w:rStyle w:val="Fill-in"/>
        </w:rPr>
        <w:t xml:space="preserve">[Fill in: the personnel or roles for reporting the security status of organizational systems to. Typical: the senior leader and the authorizing officials]</w:t>
      </w:r>
      <w:r>
        <w:t xml:space="preserve"> </w:t>
      </w:r>
      <w:r>
        <w:rPr>
          <w:rStyle w:val="Fill-in"/>
        </w:rPr>
        <w:t xml:space="preserve">[Fill in: the frequency at which to report the security status of organizational systems. Typical: monthly]</w:t>
      </w:r>
      <w:r>
        <w:t xml:space="preserve">, and the privacy status to</w:t>
      </w:r>
      <w:r>
        <w:t xml:space="preserve"> </w:t>
      </w:r>
      <w:r>
        <w:rPr>
          <w:rStyle w:val="Fill-in"/>
        </w:rPr>
        <w:t xml:space="preserve">[Fill in: the personnel or roles for reporting the privacy status of organizational systems to. Typical: the senior leader and the authorizing officials]</w:t>
      </w:r>
      <w:r>
        <w:t xml:space="preserve"> </w:t>
      </w:r>
      <w:r>
        <w:rPr>
          <w:rStyle w:val="Fill-in"/>
        </w:rPr>
        <w:t xml:space="preserve">[Fill in: the frequency at which to report the privacy status of organizational systems. Typical: quarterly]</w:t>
      </w:r>
      <w:r>
        <w:t xml:space="preserve"> </w:t>
      </w:r>
      <w:r>
        <w:t xml:space="preserve">(PM-31f).</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Metric</w:t>
            </w:r>
          </w:p>
        </w:tc>
        <w:tc>
          <w:tcPr/>
          <w:p>
            <w:pPr>
              <w:pStyle w:val="Compact"/>
            </w:pPr>
            <w:r>
              <w:t xml:space="preserve">How it is calculated</w:t>
            </w:r>
          </w:p>
        </w:tc>
        <w:tc>
          <w:tcPr/>
          <w:p>
            <w:pPr>
              <w:pStyle w:val="Compact"/>
            </w:pPr>
            <w:r>
              <w:t xml:space="preserve">Data source</w:t>
            </w:r>
          </w:p>
        </w:tc>
        <w:tc>
          <w:tcPr/>
          <w:p>
            <w:pPr>
              <w:pStyle w:val="Compact"/>
            </w:pPr>
            <w:r>
              <w:t xml:space="preserve">Monitoring frequency</w:t>
            </w:r>
          </w:p>
        </w:tc>
        <w:tc>
          <w:tcPr/>
          <w:p>
            <w:pPr>
              <w:pStyle w:val="Compact"/>
            </w:pPr>
            <w:r>
              <w:t xml:space="preserve">Threshold for escalation</w:t>
            </w:r>
          </w:p>
        </w:tc>
        <w:tc>
          <w:tcPr/>
          <w:p>
            <w:pPr>
              <w:pStyle w:val="Compact"/>
            </w:pPr>
            <w:r>
              <w:t xml:space="preserve">Reported to</w:t>
            </w:r>
          </w:p>
        </w:tc>
      </w:tr>
      <w:tr>
        <w:tc>
          <w:tcPr/>
          <w:p>
            <w:pPr>
              <w:pStyle w:val="Compact"/>
            </w:pPr>
            <w:r>
              <w:rPr>
                <w:rStyle w:val="Fill-in"/>
              </w:rPr>
              <w:t xml:space="preserve">[Fill in: for example systems with a current authorization]</w:t>
            </w:r>
          </w:p>
        </w:tc>
        <w:tc>
          <w:tcPr/>
          <w:p>
            <w:pPr>
              <w:pStyle w:val="Compact"/>
            </w:pPr>
            <w:r>
              <w:rPr>
                <w:rStyle w:val="Fill-in"/>
              </w:rPr>
              <w:t xml:space="preserve">[Fill in: for example authorized systems divided by systems in the inventory]</w:t>
            </w:r>
          </w:p>
        </w:tc>
        <w:tc>
          <w:tcPr/>
          <w:p>
            <w:pPr>
              <w:pStyle w:val="Compact"/>
            </w:pPr>
            <w:r>
              <w:rPr>
                <w:rStyle w:val="Fill-in"/>
              </w:rPr>
              <w:t xml:space="preserve">[Fill in: for example the system inventory]</w:t>
            </w:r>
          </w:p>
        </w:tc>
        <w:tc>
          <w:tcPr/>
          <w:p>
            <w:pPr>
              <w:pStyle w:val="Compact"/>
            </w:pPr>
            <w:r>
              <w:rPr>
                <w:rStyle w:val="Fill-in"/>
              </w:rPr>
              <w:t xml:space="preserve">[Fill in: frequency]</w:t>
            </w:r>
          </w:p>
        </w:tc>
        <w:tc>
          <w:tcPr/>
          <w:p>
            <w:pPr>
              <w:pStyle w:val="Compact"/>
            </w:pPr>
            <w:r>
              <w:rPr>
                <w:rStyle w:val="Fill-in"/>
              </w:rPr>
              <w:t xml:space="preserve">[Fill in: for example any system operating past its termination date]</w:t>
            </w:r>
          </w:p>
        </w:tc>
        <w:tc>
          <w:tcPr/>
          <w:p>
            <w:pPr>
              <w:pStyle w:val="Compact"/>
            </w:pPr>
            <w:r>
              <w:rPr>
                <w:rStyle w:val="Fill-in"/>
              </w:rPr>
              <w:t xml:space="preserve">[Fill in: roles]</w:t>
            </w:r>
          </w:p>
        </w:tc>
      </w:tr>
    </w:tbl>
    <w:bookmarkEnd w:id="15"/>
    <w:bookmarkStart w:id="16" w:name="X36ea36731bda4b1c5dfb1a954194ae17604a024"/>
    <w:p>
      <w:pPr>
        <w:pStyle w:val="Heading3"/>
      </w:pPr>
      <w:r>
        <w:t xml:space="preserve">4. Minimum monitoring and assessment frequencies</w:t>
      </w:r>
    </w:p>
    <w:p>
      <w:pPr>
        <w:pStyle w:val="FirstParagraph"/>
      </w:pPr>
      <w:r>
        <w:t xml:space="preserve">Every system meets at least these frequencies. A system owner may set higher frequencies in Part 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Area</w:t>
            </w:r>
          </w:p>
        </w:tc>
        <w:tc>
          <w:tcPr/>
          <w:p>
            <w:pPr>
              <w:pStyle w:val="Compact"/>
            </w:pPr>
            <w:r>
              <w:t xml:space="preserve">Example controls</w:t>
            </w:r>
          </w:p>
        </w:tc>
        <w:tc>
          <w:tcPr/>
          <w:p>
            <w:pPr>
              <w:pStyle w:val="Compact"/>
            </w:pPr>
            <w:r>
              <w:t xml:space="preserve">Monitoring method</w:t>
            </w:r>
          </w:p>
        </w:tc>
        <w:tc>
          <w:tcPr/>
          <w:p>
            <w:pPr>
              <w:pStyle w:val="Compact"/>
            </w:pPr>
            <w:r>
              <w:t xml:space="preserve">Minimum monitoring frequency</w:t>
            </w:r>
          </w:p>
        </w:tc>
        <w:tc>
          <w:tcPr/>
          <w:p>
            <w:pPr>
              <w:pStyle w:val="Compact"/>
            </w:pPr>
            <w:r>
              <w:t xml:space="preserve">Minimum assessment frequency</w:t>
            </w:r>
          </w:p>
        </w:tc>
      </w:tr>
      <w:tr>
        <w:tc>
          <w:tcPr/>
          <w:p>
            <w:pPr>
              <w:pStyle w:val="Compact"/>
            </w:pPr>
            <w:r>
              <w:t xml:space="preserve">Vulnerability and patch management</w:t>
            </w:r>
          </w:p>
        </w:tc>
        <w:tc>
          <w:tcPr/>
          <w:p>
            <w:pPr>
              <w:pStyle w:val="Compact"/>
            </w:pPr>
            <w:r>
              <w:t xml:space="preserve">RA-5, SI-2</w:t>
            </w:r>
          </w:p>
        </w:tc>
        <w:tc>
          <w:tcPr/>
          <w:p>
            <w:pPr>
              <w:pStyle w:val="Compact"/>
            </w:pPr>
            <w:r>
              <w:rPr>
                <w:rStyle w:val="Fill-in"/>
              </w:rPr>
              <w:t xml:space="preserve">[Fill in: automated scanning]</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Configuration management</w:t>
            </w:r>
          </w:p>
        </w:tc>
        <w:tc>
          <w:tcPr/>
          <w:p>
            <w:pPr>
              <w:pStyle w:val="Compact"/>
            </w:pPr>
            <w:r>
              <w:t xml:space="preserve">CM-2, CM-6, CM-8</w:t>
            </w:r>
          </w:p>
        </w:tc>
        <w:tc>
          <w:tcPr/>
          <w:p>
            <w:pPr>
              <w:pStyle w:val="Compact"/>
            </w:pPr>
            <w:r>
              <w:rPr>
                <w:rStyle w:val="Fill-in"/>
              </w:rPr>
              <w:t xml:space="preserve">[Fill in: automated compliance scanning and inventory]</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Accounts and access</w:t>
            </w:r>
          </w:p>
        </w:tc>
        <w:tc>
          <w:tcPr/>
          <w:p>
            <w:pPr>
              <w:pStyle w:val="Compact"/>
            </w:pPr>
            <w:r>
              <w:t xml:space="preserve">AC-2, AC-6, IA-2</w:t>
            </w:r>
          </w:p>
        </w:tc>
        <w:tc>
          <w:tcPr/>
          <w:p>
            <w:pPr>
              <w:pStyle w:val="Compact"/>
            </w:pPr>
            <w:r>
              <w:rPr>
                <w:rStyle w:val="Fill-in"/>
              </w:rPr>
              <w:t xml:space="preserve">[Fill in: automated account reports and access reviews]</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Event and incident management</w:t>
            </w:r>
          </w:p>
        </w:tc>
        <w:tc>
          <w:tcPr/>
          <w:p>
            <w:pPr>
              <w:pStyle w:val="Compact"/>
            </w:pPr>
            <w:r>
              <w:t xml:space="preserve">AU-6, SI-4, IR-4</w:t>
            </w:r>
          </w:p>
        </w:tc>
        <w:tc>
          <w:tcPr/>
          <w:p>
            <w:pPr>
              <w:pStyle w:val="Compact"/>
            </w:pPr>
            <w:r>
              <w:rPr>
                <w:rStyle w:val="Fill-in"/>
              </w:rPr>
              <w:t xml:space="preserve">[Fill in: security monitoring tools]</w:t>
            </w:r>
          </w:p>
        </w:tc>
        <w:tc>
          <w:tcPr/>
          <w:p>
            <w:pPr>
              <w:pStyle w:val="Compact"/>
            </w:pPr>
            <w:r>
              <w:rPr>
                <w:rStyle w:val="Fill-in"/>
              </w:rPr>
              <w:t xml:space="preserve">[Fill in: frequency]</w:t>
            </w:r>
          </w:p>
        </w:tc>
        <w:tc>
          <w:tcPr/>
          <w:p>
            <w:pPr>
              <w:pStyle w:val="Compact"/>
            </w:pPr>
            <w:r>
              <w:rPr>
                <w:rStyle w:val="Fill-in"/>
              </w:rPr>
              <w:t xml:space="preserve">[Fill in: frequency]</w:t>
            </w:r>
          </w:p>
        </w:tc>
      </w:tr>
      <w:tr>
        <w:tc>
          <w:tcPr/>
          <w:p>
            <w:pPr>
              <w:pStyle w:val="Compact"/>
            </w:pPr>
            <w:r>
              <w:t xml:space="preserve">Controls that change rarely, such as policies, plans and physical protection</w:t>
            </w:r>
          </w:p>
        </w:tc>
        <w:tc>
          <w:tcPr/>
          <w:p>
            <w:pPr>
              <w:pStyle w:val="Compact"/>
            </w:pPr>
            <w:r>
              <w:t xml:space="preserve">PL-2, CP-2, PE-3, -1 controls</w:t>
            </w:r>
          </w:p>
        </w:tc>
        <w:tc>
          <w:tcPr/>
          <w:p>
            <w:pPr>
              <w:pStyle w:val="Compact"/>
            </w:pPr>
            <w:r>
              <w:rPr>
                <w:rStyle w:val="Fill-in"/>
              </w:rPr>
              <w:t xml:space="preserve">[Fill in: manual assessment]</w:t>
            </w:r>
          </w:p>
        </w:tc>
        <w:tc>
          <w:tcPr/>
          <w:p>
            <w:pPr>
              <w:pStyle w:val="Compact"/>
            </w:pPr>
            <w:r>
              <w:rPr>
                <w:rStyle w:val="Fill-in"/>
              </w:rPr>
              <w:t xml:space="preserve">[Fill in: frequency]</w:t>
            </w:r>
          </w:p>
        </w:tc>
        <w:tc>
          <w:tcPr/>
          <w:p>
            <w:pPr>
              <w:pStyle w:val="Compact"/>
            </w:pPr>
            <w:r>
              <w:rPr>
                <w:rStyle w:val="Fill-in"/>
              </w:rPr>
              <w:t xml:space="preserve">[Fill in: frequency]</w:t>
            </w:r>
          </w:p>
        </w:tc>
      </w:tr>
    </w:tbl>
    <w:bookmarkEnd w:id="16"/>
    <w:bookmarkStart w:id="17" w:name="technical-architecture"/>
    <w:p>
      <w:pPr>
        <w:pStyle w:val="Heading3"/>
      </w:pPr>
      <w:r>
        <w:t xml:space="preserve">5. Technical architecture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Security automation domain</w:t>
            </w:r>
          </w:p>
        </w:tc>
        <w:tc>
          <w:tcPr/>
          <w:p>
            <w:pPr>
              <w:pStyle w:val="Compact"/>
            </w:pPr>
            <w:r>
              <w:t xml:space="preserve">Tool or data source</w:t>
            </w:r>
          </w:p>
        </w:tc>
        <w:tc>
          <w:tcPr/>
          <w:p>
            <w:pPr>
              <w:pStyle w:val="Compact"/>
            </w:pPr>
            <w:r>
              <w:t xml:space="preserve">Systems covered</w:t>
            </w:r>
          </w:p>
        </w:tc>
        <w:tc>
          <w:tcPr/>
          <w:p>
            <w:pPr>
              <w:pStyle w:val="Compact"/>
            </w:pPr>
            <w:r>
              <w:t xml:space="preserve">Where the data goes</w:t>
            </w:r>
          </w:p>
        </w:tc>
      </w:tr>
      <w:tr>
        <w:tc>
          <w:tcPr/>
          <w:p>
            <w:pPr>
              <w:pStyle w:val="Compact"/>
            </w:pPr>
            <w:r>
              <w:rPr>
                <w:rStyle w:val="Fill-in"/>
              </w:rPr>
              <w:t xml:space="preserve">[Fill in: for example vulnerability management, patch management, event management, incident management, malware detection, asset management, configuration management, network management, license management, information management, software assurance]</w:t>
            </w:r>
          </w:p>
        </w:tc>
        <w:tc>
          <w:tcPr/>
          <w:p>
            <w:pPr>
              <w:pStyle w:val="Compact"/>
            </w:pPr>
            <w:r>
              <w:rPr>
                <w:rStyle w:val="Fill-in"/>
              </w:rPr>
              <w:t xml:space="preserve">[Fill in: tool]</w:t>
            </w:r>
          </w:p>
        </w:tc>
        <w:tc>
          <w:tcPr/>
          <w:p>
            <w:pPr>
              <w:pStyle w:val="Compact"/>
            </w:pPr>
            <w:r>
              <w:rPr>
                <w:rStyle w:val="Fill-in"/>
              </w:rPr>
              <w:t xml:space="preserve">[Fill in: systems]</w:t>
            </w:r>
          </w:p>
        </w:tc>
        <w:tc>
          <w:tcPr/>
          <w:p>
            <w:pPr>
              <w:pStyle w:val="Compact"/>
            </w:pPr>
            <w:r>
              <w:rPr>
                <w:rStyle w:val="Fill-in"/>
              </w:rPr>
              <w:t xml:space="preserve">[Fill in: for example the monitoring dashboard or GRC tool]</w:t>
            </w:r>
          </w:p>
        </w:tc>
      </w:tr>
    </w:tbl>
    <w:bookmarkEnd w:id="17"/>
    <w:bookmarkEnd w:id="18"/>
    <w:bookmarkStart w:id="23" w:name="part-b.-system-level-strategy"/>
    <w:p>
      <w:pPr>
        <w:pStyle w:val="Heading2"/>
      </w:pPr>
      <w:r>
        <w:t xml:space="preserve">Part B. System-level strategy</w:t>
      </w:r>
    </w:p>
    <w:p>
      <w:pPr>
        <w:pStyle w:val="FirstParagraph"/>
      </w:pPr>
      <w:r>
        <w:t xml:space="preserve">This part applies to</w:t>
      </w:r>
      <w:r>
        <w:t xml:space="preserve"> </w:t>
      </w:r>
      <w:r>
        <w:rPr>
          <w:rStyle w:val="Fill-in"/>
        </w:rPr>
        <w:t xml:space="preserve">[Fill in: system name and identifier]</w:t>
      </w:r>
      <w:r>
        <w:t xml:space="preserve"> </w:t>
      </w:r>
      <w:r>
        <w:t xml:space="preserve">and follows Part A.</w:t>
      </w:r>
      <w:r>
        <w:t xml:space="preserve"> </w:t>
      </w:r>
      <w:r>
        <w:rPr>
          <w:rStyle w:val="Fill-in"/>
        </w:rPr>
        <w:t xml:space="preserve">[Fill in: any organization-wide frequency this system exceeds, and why, for example more frequent scanning of public-facing components]</w:t>
      </w:r>
    </w:p>
    <w:bookmarkStart w:id="19" w:name="system-level-metrics"/>
    <w:p>
      <w:pPr>
        <w:pStyle w:val="Heading3"/>
      </w:pPr>
      <w:r>
        <w:t xml:space="preserve">6. System-level metrics</w:t>
      </w:r>
    </w:p>
    <w:p>
      <w:pPr>
        <w:pStyle w:val="FirstParagraph"/>
      </w:pPr>
      <w:r>
        <w:t xml:space="preserve">The system-level metrics monitored are</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w:t>
      </w:r>
      <w:r>
        <w:t xml:space="preserve">(CA-7a).</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Metric</w:t>
            </w:r>
          </w:p>
        </w:tc>
        <w:tc>
          <w:tcPr/>
          <w:p>
            <w:pPr>
              <w:pStyle w:val="Compact"/>
            </w:pPr>
            <w:r>
              <w:t xml:space="preserve">How it is calculated</w:t>
            </w:r>
          </w:p>
        </w:tc>
        <w:tc>
          <w:tcPr/>
          <w:p>
            <w:pPr>
              <w:pStyle w:val="Compact"/>
            </w:pPr>
            <w:r>
              <w:t xml:space="preserve">Data source</w:t>
            </w:r>
          </w:p>
        </w:tc>
        <w:tc>
          <w:tcPr/>
          <w:p>
            <w:pPr>
              <w:pStyle w:val="Compact"/>
            </w:pPr>
            <w:r>
              <w:t xml:space="preserve">Threshold for action</w:t>
            </w:r>
          </w:p>
        </w:tc>
      </w:tr>
      <w:tr>
        <w:tc>
          <w:tcPr/>
          <w:p>
            <w:pPr>
              <w:pStyle w:val="Compact"/>
            </w:pPr>
            <w:r>
              <w:rPr>
                <w:rStyle w:val="Fill-in"/>
              </w:rPr>
              <w:t xml:space="preserve">[Fill in: for example open vulnerabilities by severity and age]</w:t>
            </w:r>
          </w:p>
        </w:tc>
        <w:tc>
          <w:tcPr/>
          <w:p>
            <w:pPr>
              <w:pStyle w:val="Compact"/>
            </w:pPr>
            <w:r>
              <w:rPr>
                <w:rStyle w:val="Fill-in"/>
              </w:rPr>
              <w:t xml:space="preserve">[Fill in: calculation]</w:t>
            </w:r>
          </w:p>
        </w:tc>
        <w:tc>
          <w:tcPr/>
          <w:p>
            <w:pPr>
              <w:pStyle w:val="Compact"/>
            </w:pPr>
            <w:r>
              <w:rPr>
                <w:rStyle w:val="Fill-in"/>
              </w:rPr>
              <w:t xml:space="preserve">[Fill in: source]</w:t>
            </w:r>
          </w:p>
        </w:tc>
        <w:tc>
          <w:tcPr/>
          <w:p>
            <w:pPr>
              <w:pStyle w:val="Compact"/>
            </w:pPr>
            <w:r>
              <w:rPr>
                <w:rStyle w:val="Fill-in"/>
              </w:rPr>
              <w:t xml:space="preserve">[Fill in: for example any critical vulnerability past its remediation time]</w:t>
            </w:r>
          </w:p>
        </w:tc>
      </w:tr>
    </w:tbl>
    <w:bookmarkEnd w:id="19"/>
    <w:bookmarkStart w:id="20" w:name="monitoring-and-assessment-frequencies"/>
    <w:p>
      <w:pPr>
        <w:pStyle w:val="Heading3"/>
      </w:pPr>
      <w:r>
        <w:t xml:space="preserve">7. Monitoring and assessment frequencies</w:t>
      </w:r>
    </w:p>
    <w:p>
      <w:pPr>
        <w:pStyle w:val="FirstParagraph"/>
      </w:pPr>
      <w:r>
        <w:t xml:space="preserve">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and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w:t>
      </w:r>
      <w:r>
        <w:t xml:space="preserve">(CA-7b). Ongoing assessments follow this schedule (CA-7c), and together make up the system’s control assessment, which CA-2d requires</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Control or group</w:t>
            </w:r>
          </w:p>
        </w:tc>
        <w:tc>
          <w:tcPr/>
          <w:p>
            <w:pPr>
              <w:pStyle w:val="Compact"/>
            </w:pPr>
            <w:r>
              <w:t xml:space="preserve">Implementation (system-specific, hybrid or inherited)</w:t>
            </w:r>
          </w:p>
        </w:tc>
        <w:tc>
          <w:tcPr/>
          <w:p>
            <w:pPr>
              <w:pStyle w:val="Compact"/>
            </w:pPr>
            <w:r>
              <w:t xml:space="preserve">How monitored</w:t>
            </w:r>
          </w:p>
        </w:tc>
        <w:tc>
          <w:tcPr/>
          <w:p>
            <w:pPr>
              <w:pStyle w:val="Compact"/>
            </w:pPr>
            <w:r>
              <w:t xml:space="preserve">Monitoring frequency</w:t>
            </w:r>
          </w:p>
        </w:tc>
        <w:tc>
          <w:tcPr/>
          <w:p>
            <w:pPr>
              <w:pStyle w:val="Compact"/>
            </w:pPr>
            <w:r>
              <w:t xml:space="preserve">Assessment year (1, 2 or 3)</w:t>
            </w:r>
          </w:p>
        </w:tc>
        <w:tc>
          <w:tcPr/>
          <w:p>
            <w:pPr>
              <w:pStyle w:val="Compact"/>
            </w:pPr>
            <w:r>
              <w:t xml:space="preserve">Assessor</w:t>
            </w:r>
          </w:p>
        </w:tc>
      </w:tr>
      <w:tr>
        <w:tc>
          <w:tcPr/>
          <w:p>
            <w:pPr>
              <w:pStyle w:val="Compact"/>
            </w:pPr>
            <w:r>
              <w:rPr>
                <w:rStyle w:val="Fill-in"/>
              </w:rPr>
              <w:t xml:space="preserve">[Fill in: control or group]</w:t>
            </w:r>
          </w:p>
        </w:tc>
        <w:tc>
          <w:tcPr/>
          <w:p>
            <w:pPr>
              <w:pStyle w:val="Compact"/>
            </w:pPr>
            <w:r>
              <w:rPr>
                <w:rStyle w:val="Fill-in"/>
              </w:rPr>
              <w:t xml:space="preserve">[Fill in: implementation]</w:t>
            </w:r>
          </w:p>
        </w:tc>
        <w:tc>
          <w:tcPr/>
          <w:p>
            <w:pPr>
              <w:pStyle w:val="Compact"/>
            </w:pPr>
            <w:r>
              <w:rPr>
                <w:rStyle w:val="Fill-in"/>
              </w:rPr>
              <w:t xml:space="preserve">[Fill in: automated tool, or manual assessment]</w:t>
            </w:r>
          </w:p>
        </w:tc>
        <w:tc>
          <w:tcPr/>
          <w:p>
            <w:pPr>
              <w:pStyle w:val="Compact"/>
            </w:pPr>
            <w:r>
              <w:rPr>
                <w:rStyle w:val="Fill-in"/>
              </w:rPr>
              <w:t xml:space="preserve">[Fill in: frequency]</w:t>
            </w:r>
          </w:p>
        </w:tc>
        <w:tc>
          <w:tcPr/>
          <w:p>
            <w:pPr>
              <w:pStyle w:val="Compact"/>
            </w:pPr>
            <w:r>
              <w:rPr>
                <w:rStyle w:val="Fill-in"/>
              </w:rPr>
              <w:t xml:space="preserve">[Fill in: year]</w:t>
            </w:r>
          </w:p>
        </w:tc>
        <w:tc>
          <w:tcPr/>
          <w:p>
            <w:pPr>
              <w:pStyle w:val="Compact"/>
            </w:pPr>
            <w:r>
              <w:rPr>
                <w:rStyle w:val="Fill-in"/>
              </w:rPr>
              <w:t xml:space="preserve">[Fill in: assessor]</w:t>
            </w:r>
          </w:p>
        </w:tc>
      </w:tr>
    </w:tbl>
    <w:bookmarkEnd w:id="20"/>
    <w:bookmarkStart w:id="21" w:name="independent-assessment"/>
    <w:p>
      <w:pPr>
        <w:pStyle w:val="Heading3"/>
      </w:pPr>
      <w:r>
        <w:t xml:space="preserve">8. Independent assessment</w:t>
      </w:r>
    </w:p>
    <w:p>
      <w:pPr>
        <w:pStyle w:val="FirstParagraph"/>
      </w:pPr>
      <w:r>
        <w:t xml:space="preserve">The ongoing assessments are carried out by</w:t>
      </w:r>
      <w:r>
        <w:t xml:space="preserve"> </w:t>
      </w:r>
      <w:r>
        <w:rPr>
          <w:rStyle w:val="Fill-in"/>
        </w:rPr>
        <w:t xml:space="preserve">[Fill in: the assessor or team, for example the security office’s continuous monitoring team or the third-party assessor that performs the yearly assessment]</w:t>
      </w:r>
      <w:r>
        <w:t xml:space="preserve">, who meet the independence the authorizing official set for the system under CA-2(1) (CA-7(1)). Data from the system’s own tools may be used, but the system’s administrators do not assess the results.</w:t>
      </w:r>
    </w:p>
    <w:bookmarkEnd w:id="21"/>
    <w:bookmarkStart w:id="22" w:name="risk-monitoring"/>
    <w:p>
      <w:pPr>
        <w:pStyle w:val="Heading3"/>
      </w:pPr>
      <w:r>
        <w:t xml:space="preserve">9. Risk monitoring</w:t>
      </w:r>
    </w:p>
    <w:p>
      <w:pPr>
        <w:pStyle w:val="FirstParagraph"/>
      </w:pPr>
      <w:r>
        <w:t xml:space="preserve">Risk monitoring is part of this strategy, informed by the organization’s risk tolerance (CA-7(4)).</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Type</w:t>
            </w:r>
          </w:p>
        </w:tc>
        <w:tc>
          <w:tcPr/>
          <w:p>
            <w:pPr>
              <w:pStyle w:val="Compact"/>
            </w:pPr>
            <w:r>
              <w:t xml:space="preserve">What is monitored</w:t>
            </w:r>
          </w:p>
        </w:tc>
        <w:tc>
          <w:tcPr/>
          <w:p>
            <w:pPr>
              <w:pStyle w:val="Compact"/>
            </w:pPr>
            <w:r>
              <w:t xml:space="preserve">Sources</w:t>
            </w:r>
          </w:p>
        </w:tc>
        <w:tc>
          <w:tcPr/>
          <w:p>
            <w:pPr>
              <w:pStyle w:val="Compact"/>
            </w:pPr>
            <w:r>
              <w:t xml:space="preserve">Frequency</w:t>
            </w:r>
          </w:p>
        </w:tc>
      </w:tr>
      <w:tr>
        <w:tc>
          <w:tcPr/>
          <w:p>
            <w:pPr>
              <w:pStyle w:val="Compact"/>
            </w:pPr>
            <w:r>
              <w:t xml:space="preserve">Effectiveness monitoring (CA-7(4)(a))</w:t>
            </w:r>
          </w:p>
        </w:tc>
        <w:tc>
          <w:tcPr/>
          <w:p>
            <w:pPr>
              <w:pStyle w:val="Compact"/>
            </w:pPr>
            <w:r>
              <w:t xml:space="preserve">Whether the risk responses in place remain effective</w:t>
            </w:r>
          </w:p>
        </w:tc>
        <w:tc>
          <w:tcPr/>
          <w:p>
            <w:pPr>
              <w:pStyle w:val="Compact"/>
            </w:pPr>
            <w:r>
              <w:rPr>
                <w:rStyle w:val="Fill-in"/>
              </w:rPr>
              <w:t xml:space="preserve">[Fill in: for example control assessment results, incident trends]</w:t>
            </w:r>
          </w:p>
        </w:tc>
        <w:tc>
          <w:tcPr/>
          <w:p>
            <w:pPr>
              <w:pStyle w:val="Compact"/>
            </w:pPr>
            <w:r>
              <w:rPr>
                <w:rStyle w:val="Fill-in"/>
              </w:rPr>
              <w:t xml:space="preserve">[Fill in: frequency]</w:t>
            </w:r>
          </w:p>
        </w:tc>
      </w:tr>
      <w:tr>
        <w:tc>
          <w:tcPr/>
          <w:p>
            <w:pPr>
              <w:pStyle w:val="Compact"/>
            </w:pPr>
            <w:r>
              <w:t xml:space="preserve">Compliance monitoring (CA-7(4)(b))</w:t>
            </w:r>
          </w:p>
        </w:tc>
        <w:tc>
          <w:tcPr/>
          <w:p>
            <w:pPr>
              <w:pStyle w:val="Compact"/>
            </w:pPr>
            <w:r>
              <w:t xml:space="preserve">Whether required risk responses are implemented and requirements are met</w:t>
            </w:r>
          </w:p>
        </w:tc>
        <w:tc>
          <w:tcPr/>
          <w:p>
            <w:pPr>
              <w:pStyle w:val="Compact"/>
            </w:pPr>
            <w:r>
              <w:rPr>
                <w:rStyle w:val="Fill-in"/>
              </w:rPr>
              <w:t xml:space="preserve">[Fill in: for example configuration compliance scans, plan of action and milestones status]</w:t>
            </w:r>
          </w:p>
        </w:tc>
        <w:tc>
          <w:tcPr/>
          <w:p>
            <w:pPr>
              <w:pStyle w:val="Compact"/>
            </w:pPr>
            <w:r>
              <w:rPr>
                <w:rStyle w:val="Fill-in"/>
              </w:rPr>
              <w:t xml:space="preserve">[Fill in: frequency]</w:t>
            </w:r>
          </w:p>
        </w:tc>
      </w:tr>
      <w:tr>
        <w:tc>
          <w:tcPr/>
          <w:p>
            <w:pPr>
              <w:pStyle w:val="Compact"/>
            </w:pPr>
            <w:r>
              <w:t xml:space="preserve">Change monitoring (CA-7(4)(c))</w:t>
            </w:r>
          </w:p>
        </w:tc>
        <w:tc>
          <w:tcPr/>
          <w:p>
            <w:pPr>
              <w:pStyle w:val="Compact"/>
            </w:pPr>
            <w:r>
              <w:t xml:space="preserve">Changes to the system and its environment that may affect risk</w:t>
            </w:r>
          </w:p>
        </w:tc>
        <w:tc>
          <w:tcPr/>
          <w:p>
            <w:pPr>
              <w:pStyle w:val="Compact"/>
            </w:pPr>
            <w:r>
              <w:rPr>
                <w:rStyle w:val="Fill-in"/>
              </w:rPr>
              <w:t xml:space="preserve">[Fill in: for example change requests and security impact analyses (CM-3, CM-4), the component inventory (CM-8), threat intelligence]</w:t>
            </w:r>
          </w:p>
        </w:tc>
        <w:tc>
          <w:tcPr/>
          <w:p>
            <w:pPr>
              <w:pStyle w:val="Compact"/>
            </w:pPr>
            <w:r>
              <w:rPr>
                <w:rStyle w:val="Fill-in"/>
              </w:rPr>
              <w:t xml:space="preserve">[Fill in: frequency]</w:t>
            </w:r>
          </w:p>
        </w:tc>
      </w:tr>
    </w:tbl>
    <w:bookmarkEnd w:id="22"/>
    <w:bookmarkEnd w:id="23"/>
    <w:bookmarkStart w:id="31" w:name="carrying-out-the-strategy"/>
    <w:p>
      <w:pPr>
        <w:pStyle w:val="Heading2"/>
      </w:pPr>
      <w:r>
        <w:t xml:space="preserve">Carrying out the strategy</w:t>
      </w:r>
    </w:p>
    <w:bookmarkStart w:id="24" w:name="analysis-and-reporting"/>
    <w:p>
      <w:pPr>
        <w:pStyle w:val="Heading3"/>
      </w:pPr>
      <w:r>
        <w:t xml:space="preserve">10. Analysis and reporting</w:t>
      </w:r>
    </w:p>
    <w:p>
      <w:pPr>
        <w:pStyle w:val="FirstParagraph"/>
      </w:pPr>
      <w:r>
        <w:t xml:space="preserve">The</w:t>
      </w:r>
      <w:r>
        <w:t xml:space="preserve"> </w:t>
      </w:r>
      <w:r>
        <w:rPr>
          <w:rStyle w:val="Fill-in"/>
        </w:rPr>
        <w:t xml:space="preserve">[System owner]</w:t>
      </w:r>
      <w:r>
        <w:t xml:space="preserve"> </w:t>
      </w:r>
      <w:r>
        <w:t xml:space="preserve">correlates and analyzes the information that control assessments and monitoring produce (CA-7e), and reports: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Report</w:t>
            </w:r>
          </w:p>
        </w:tc>
        <w:tc>
          <w:tcPr/>
          <w:p>
            <w:pPr>
              <w:pStyle w:val="Compact"/>
            </w:pPr>
            <w:r>
              <w:t xml:space="preserve">Content</w:t>
            </w:r>
          </w:p>
        </w:tc>
        <w:tc>
          <w:tcPr/>
          <w:p>
            <w:pPr>
              <w:pStyle w:val="Compact"/>
            </w:pPr>
            <w:r>
              <w:t xml:space="preserve">Recipient</w:t>
            </w:r>
          </w:p>
        </w:tc>
        <w:tc>
          <w:tcPr/>
          <w:p>
            <w:pPr>
              <w:pStyle w:val="Compact"/>
            </w:pPr>
            <w:r>
              <w:t xml:space="preserve">Frequency</w:t>
            </w:r>
          </w:p>
        </w:tc>
      </w:tr>
      <w:tr>
        <w:tc>
          <w:tcPr/>
          <w:p>
            <w:pPr>
              <w:pStyle w:val="Compact"/>
            </w:pPr>
            <w:r>
              <w:t xml:space="preserve">System metrics</w:t>
            </w:r>
          </w:p>
        </w:tc>
        <w:tc>
          <w:tcPr/>
          <w:p>
            <w:pPr>
              <w:pStyle w:val="Compact"/>
            </w:pPr>
            <w:r>
              <w:t xml:space="preserve">The section 6 metrics against their thresholds, and new weaknesses</w:t>
            </w:r>
          </w:p>
        </w:tc>
        <w:tc>
          <w:tcPr/>
          <w:p>
            <w:pPr>
              <w:pStyle w:val="Compact"/>
            </w:pPr>
            <w:r>
              <w:rPr>
                <w:rStyle w:val="Fill-in"/>
              </w:rPr>
              <w:t xml:space="preserve">[System owner]</w:t>
            </w:r>
          </w:p>
        </w:tc>
        <w:tc>
          <w:tcPr/>
          <w:p>
            <w:pPr>
              <w:pStyle w:val="Compact"/>
            </w:pPr>
            <w:r>
              <w:t xml:space="preserve">Monthly</w:t>
            </w:r>
          </w:p>
        </w:tc>
      </w:tr>
      <w:tr>
        <w:tc>
          <w:tcPr/>
          <w:p>
            <w:pPr>
              <w:pStyle w:val="Compact"/>
            </w:pPr>
            <w:r>
              <w:t xml:space="preserve">System security status</w:t>
            </w:r>
          </w:p>
        </w:tc>
        <w:tc>
          <w:tcPr/>
          <w:p>
            <w:pPr>
              <w:pStyle w:val="Compact"/>
            </w:pPr>
            <w:r>
              <w:t xml:space="preserve">Metrics, trends, assessment results, open and past-due plan of action and milestones items, significant changes</w:t>
            </w:r>
          </w:p>
        </w:tc>
        <w:tc>
          <w:tcPr/>
          <w:p>
            <w:pPr>
              <w:pStyle w:val="Compact"/>
            </w:pPr>
            <w:r>
              <w:rPr>
                <w:rStyle w:val="Fill-in"/>
              </w:rPr>
              <w:t xml:space="preserve">[Fill in: personnel or roles to whom the security status of the system is reported. Typical: the authorizing official and the Chief Information Security Officer]</w:t>
            </w:r>
          </w:p>
        </w:tc>
        <w:tc>
          <w:tcPr/>
          <w:p>
            <w:pPr>
              <w:pStyle w:val="Compact"/>
            </w:pPr>
            <w:r>
              <w:rPr>
                <w:rStyle w:val="Fill-in"/>
              </w:rPr>
              <w:t xml:space="preserve">[Fill in: frequency at which the security status of the system is reported. Typical: at least quarterly]</w:t>
            </w:r>
            <w:r>
              <w:t xml:space="preserve"> </w:t>
            </w:r>
            <w:r>
              <w:t xml:space="preserve">(CA-7g)</w:t>
            </w:r>
          </w:p>
        </w:tc>
      </w:tr>
      <w:tr>
        <w:tc>
          <w:tcPr/>
          <w:p>
            <w:pPr>
              <w:pStyle w:val="Compact"/>
            </w:pPr>
            <w:r>
              <w:t xml:space="preserve">System privacy status</w:t>
            </w:r>
          </w:p>
        </w:tc>
        <w:tc>
          <w:tcPr/>
          <w:p>
            <w:pPr>
              <w:pStyle w:val="Compact"/>
            </w:pPr>
            <w:r>
              <w:t xml:space="preserve">Privacy control results and privacy risks</w:t>
            </w:r>
          </w:p>
        </w:tc>
        <w:tc>
          <w:tcPr/>
          <w:p>
            <w:pPr>
              <w:pStyle w:val="Compact"/>
            </w:pPr>
            <w:r>
              <w:rPr>
                <w:rStyle w:val="Fill-in"/>
              </w:rPr>
              <w:t xml:space="preserve">[Fill in: personnel or roles to whom the privacy status of the system is reported. Typical: the authorizing official and the senior privacy official]</w:t>
            </w:r>
          </w:p>
        </w:tc>
        <w:tc>
          <w:tcPr/>
          <w:p>
            <w:pPr>
              <w:pStyle w:val="Compact"/>
            </w:pPr>
            <w:r>
              <w:rPr>
                <w:rStyle w:val="Fill-in"/>
              </w:rPr>
              <w:t xml:space="preserve">[Fill in: frequency at which the privacy status of the system is reported. Typical: at least quarterly]</w:t>
            </w:r>
            <w:r>
              <w:t xml:space="preserve"> </w:t>
            </w:r>
            <w:r>
              <w:t xml:space="preserve">(CA-7g)</w:t>
            </w:r>
          </w:p>
        </w:tc>
      </w:tr>
      <w:tr>
        <w:tc>
          <w:tcPr/>
          <w:p>
            <w:pPr>
              <w:pStyle w:val="Compact"/>
            </w:pPr>
            <w:r>
              <w:t xml:space="preserve">Organization-wide status</w:t>
            </w:r>
          </w:p>
        </w:tc>
        <w:tc>
          <w:tcPr/>
          <w:p>
            <w:pPr>
              <w:pStyle w:val="Compact"/>
            </w:pPr>
            <w:r>
              <w:t xml:space="preserve">The section 3 metrics across all systems, and common weaknesses</w:t>
            </w:r>
          </w:p>
        </w:tc>
        <w:tc>
          <w:tcPr/>
          <w:p>
            <w:pPr>
              <w:pStyle w:val="Compact"/>
            </w:pPr>
            <w:r>
              <w:t xml:space="preserve">Part A recipients</w:t>
            </w:r>
          </w:p>
        </w:tc>
        <w:tc>
          <w:tcPr/>
          <w:p>
            <w:pPr>
              <w:pStyle w:val="Compact"/>
            </w:pPr>
            <w:r>
              <w:t xml:space="preserve">Part A frequencies (PM-31f)</w:t>
            </w:r>
          </w:p>
        </w:tc>
      </w:tr>
    </w:tbl>
    <w:bookmarkEnd w:id="24"/>
    <w:bookmarkStart w:id="26" w:name="response"/>
    <w:p>
      <w:pPr>
        <w:pStyle w:val="Heading3"/>
      </w:pPr>
      <w:r>
        <w:t xml:space="preserve">11. Response</w:t>
      </w:r>
    </w:p>
    <w:p>
      <w:pPr>
        <w:pStyle w:val="Compact"/>
        <w:numPr>
          <w:ilvl w:val="0"/>
          <w:numId w:val="1003"/>
        </w:numPr>
      </w:pPr>
      <w:r>
        <w:t xml:space="preserve">The</w:t>
      </w:r>
      <w:r>
        <w:t xml:space="preserve"> </w:t>
      </w:r>
      <w:r>
        <w:rPr>
          <w:rStyle w:val="Fill-in"/>
        </w:rPr>
        <w:t xml:space="preserve">[System owner]</w:t>
      </w:r>
      <w:r>
        <w:t xml:space="preserve"> </w:t>
      </w:r>
      <w:r>
        <w:t xml:space="preserve">takes response actions on the results of the analysis (CA-7f): correcting the weakness, adding or changing controls, changing monitoring frequencies, or asking for more analysis.</w:t>
      </w:r>
    </w:p>
    <w:p>
      <w:pPr>
        <w:pStyle w:val="Compact"/>
        <w:numPr>
          <w:ilvl w:val="0"/>
          <w:numId w:val="1003"/>
        </w:numPr>
      </w:pPr>
      <w:r>
        <w:t xml:space="preserve">Each weakness found is recorded in the</w:t>
      </w:r>
      <w:r>
        <w:t xml:space="preserve"> </w:t>
      </w:r>
      <w:hyperlink r:id="rId25">
        <w:r>
          <w:rPr>
            <w:rStyle w:val="Hyperlink"/>
          </w:rPr>
          <w:t xml:space="preserve">plan of action and milestones</w:t>
        </w:r>
      </w:hyperlink>
      <w:r>
        <w:t xml:space="preserve">, which is updated</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w:t>
      </w:r>
      <w:r>
        <w:t xml:space="preserve">(CA-5b).</w:t>
      </w:r>
    </w:p>
    <w:p>
      <w:pPr>
        <w:pStyle w:val="Compact"/>
        <w:numPr>
          <w:ilvl w:val="0"/>
          <w:numId w:val="1003"/>
        </w:numPr>
      </w:pPr>
      <w:r>
        <w:t xml:space="preserve">A risk above the organization’s tolerance is raised with the authorizing official within</w:t>
      </w:r>
      <w:r>
        <w:t xml:space="preserve"> </w:t>
      </w:r>
      <w:r>
        <w:rPr>
          <w:rStyle w:val="Fill-in"/>
        </w:rPr>
        <w:t xml:space="preserve">[Fill in: time allowed to raise it]</w:t>
      </w:r>
      <w:r>
        <w:t xml:space="preserve">, who decides whether to accept, mitigate, share or avoid it (RA-7).</w:t>
      </w:r>
    </w:p>
    <w:p>
      <w:pPr>
        <w:pStyle w:val="Compact"/>
        <w:numPr>
          <w:ilvl w:val="0"/>
          <w:numId w:val="1003"/>
        </w:numPr>
      </w:pPr>
      <w:r>
        <w:t xml:space="preserve">The</w:t>
      </w:r>
      <w:r>
        <w:t xml:space="preserve"> </w:t>
      </w:r>
      <w:r>
        <w:rPr>
          <w:rStyle w:val="Fill-in"/>
        </w:rPr>
        <w:t xml:space="preserve">[Chief Information Security Officer]</w:t>
      </w:r>
      <w:r>
        <w:t xml:space="preserve"> </w:t>
      </w:r>
      <w:r>
        <w:t xml:space="preserve">reviews the plans of action and milestones across systems for common weaknesses and adjusts common controls or this strategy to address them.</w:t>
      </w:r>
    </w:p>
    <w:bookmarkEnd w:id="26"/>
    <w:bookmarkStart w:id="27" w:name="X5ced862802ff07014239a088b23efd476cd67d5"/>
    <w:p>
      <w:pPr>
        <w:pStyle w:val="Heading3"/>
      </w:pPr>
      <w:r>
        <w:t xml:space="preserve">12. Ongoing authorization and reauthorization</w:t>
      </w:r>
    </w:p>
    <w:p>
      <w:pPr>
        <w:pStyle w:val="FirstParagraph"/>
      </w:pPr>
      <w:r>
        <w:t xml:space="preserve">The authorization is updated</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w:t>
      </w:r>
      <w:r>
        <w:t xml:space="preserve">(CA-6e).</w:t>
      </w:r>
    </w:p>
    <w:p>
      <w:pPr>
        <w:pStyle w:val="BodyText"/>
      </w:pPr>
      <w:r>
        <w:t xml:space="preserve">A system moves to ongoing authorization only when both conditions are met and the authorizing official formally approves the transition: it holds an initial authorization to operate, and this strategy monitors all of its implemented security and privacy controls at the frequencies set here. Until then, the system keeps a specific authorization termination date.</w:t>
      </w:r>
    </w:p>
    <w:p>
      <w:pPr>
        <w:pStyle w:val="BodyText"/>
      </w:pPr>
      <w:r>
        <w:t xml:space="preserve">Under ongoing authorization, the authorizing official reviews the system’s status and decides whether its risk remains acceptable</w:t>
      </w:r>
      <w:r>
        <w:t xml:space="preserve"> </w:t>
      </w:r>
      <w:r>
        <w:rPr>
          <w:rStyle w:val="Fill-in"/>
        </w:rPr>
        <w:t xml:space="preserve">[Fill in: the time-driven review frequency, for example at each quarterly status report]</w:t>
      </w:r>
      <w:r>
        <w:t xml:space="preserve">. These events trigger an unscheduled review, and possibly reauthorization: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Trigger event</w:t>
            </w:r>
          </w:p>
        </w:tc>
        <w:tc>
          <w:tcPr/>
          <w:p>
            <w:pPr>
              <w:pStyle w:val="Compact"/>
            </w:pPr>
            <w:r>
              <w:t xml:space="preserve">Action</w:t>
            </w:r>
          </w:p>
        </w:tc>
      </w:tr>
      <w:tr>
        <w:tc>
          <w:tcPr/>
          <w:p>
            <w:pPr>
              <w:pStyle w:val="Compact"/>
            </w:pPr>
            <w:r>
              <w:t xml:space="preserve">A significant change: one likely to affect the security or privacy state of the system, such as a new hosting environment or a major architecture change</w:t>
            </w:r>
          </w:p>
        </w:tc>
        <w:tc>
          <w:tcPr/>
          <w:p>
            <w:pPr>
              <w:pStyle w:val="Compact"/>
            </w:pPr>
            <w:r>
              <w:t xml:space="preserve">Security impact analysis (CM-4); targeted assessment of the affected controls; authorizing official decides whether to reauthorize</w:t>
            </w:r>
          </w:p>
        </w:tc>
      </w:tr>
      <w:tr>
        <w:tc>
          <w:tcPr/>
          <w:p>
            <w:pPr>
              <w:pStyle w:val="Compact"/>
            </w:pPr>
            <w:r>
              <w:t xml:space="preserve">A metric beyond its escalation threshold for</w:t>
            </w:r>
            <w:r>
              <w:t xml:space="preserve"> </w:t>
            </w:r>
            <w:r>
              <w:rPr>
                <w:rStyle w:val="Fill-in"/>
              </w:rPr>
              <w:t xml:space="preserve">[Fill in: how long]</w:t>
            </w:r>
          </w:p>
        </w:tc>
        <w:tc>
          <w:tcPr/>
          <w:p>
            <w:pPr>
              <w:pStyle w:val="Compact"/>
            </w:pPr>
            <w:r>
              <w:t xml:space="preserve">Report to the authorizing official; risk response</w:t>
            </w:r>
          </w:p>
        </w:tc>
      </w:tr>
      <w:tr>
        <w:tc>
          <w:tcPr/>
          <w:p>
            <w:pPr>
              <w:pStyle w:val="Compact"/>
            </w:pPr>
            <w:r>
              <w:t xml:space="preserve">A significant incident or breach involving the system</w:t>
            </w:r>
          </w:p>
        </w:tc>
        <w:tc>
          <w:tcPr/>
          <w:p>
            <w:pPr>
              <w:pStyle w:val="Compact"/>
            </w:pPr>
            <w:r>
              <w:t xml:space="preserve">Post-incident review; targeted reassessment</w:t>
            </w:r>
          </w:p>
        </w:tc>
      </w:tr>
      <w:tr>
        <w:tc>
          <w:tcPr/>
          <w:p>
            <w:pPr>
              <w:pStyle w:val="Compact"/>
            </w:pPr>
            <w:r>
              <w:t xml:space="preserve">New threat or vulnerability information that affects the system</w:t>
            </w:r>
          </w:p>
        </w:tc>
        <w:tc>
          <w:tcPr/>
          <w:p>
            <w:pPr>
              <w:pStyle w:val="Compact"/>
            </w:pPr>
            <w:r>
              <w:t xml:space="preserve">Risk assessment update (RA-3); response</w:t>
            </w:r>
          </w:p>
        </w:tc>
      </w:tr>
      <w:tr>
        <w:tc>
          <w:tcPr/>
          <w:p>
            <w:pPr>
              <w:pStyle w:val="Compact"/>
            </w:pPr>
            <w:r>
              <w:t xml:space="preserve">Assessment results showing risk above tolerance</w:t>
            </w:r>
          </w:p>
        </w:tc>
        <w:tc>
          <w:tcPr/>
          <w:p>
            <w:pPr>
              <w:pStyle w:val="Compact"/>
            </w:pPr>
            <w:r>
              <w:t xml:space="preserve">Authorizing official decides on risk response or reauthorization</w:t>
            </w:r>
          </w:p>
        </w:tc>
      </w:tr>
      <w:tr>
        <w:tc>
          <w:tcPr/>
          <w:p>
            <w:pPr>
              <w:pStyle w:val="Compact"/>
            </w:pPr>
            <w:r>
              <w:t xml:space="preserve">A change of authorizing official</w:t>
            </w:r>
          </w:p>
        </w:tc>
        <w:tc>
          <w:tcPr/>
          <w:p>
            <w:pPr>
              <w:pStyle w:val="Compact"/>
            </w:pPr>
            <w:r>
              <w:t xml:space="preserve">New authorizing official reviews the authorization and accepts it or starts a reauthorization</w:t>
            </w:r>
          </w:p>
        </w:tc>
      </w:tr>
      <w:tr>
        <w:tc>
          <w:tcPr/>
          <w:p>
            <w:pPr>
              <w:pStyle w:val="Compact"/>
            </w:pPr>
            <w:r>
              <w:rPr>
                <w:rStyle w:val="Fill-in"/>
              </w:rPr>
              <w:t xml:space="preserve">[Fill in: other organization-defined events]</w:t>
            </w:r>
          </w:p>
        </w:tc>
        <w:tc>
          <w:tcPr/>
          <w:p>
            <w:pPr>
              <w:pStyle w:val="Compact"/>
            </w:pPr>
            <w:r>
              <w:rPr>
                <w:rStyle w:val="Fill-in"/>
              </w:rPr>
              <w:t xml:space="preserve">[Fill in: action]</w:t>
            </w:r>
          </w:p>
        </w:tc>
      </w:tr>
    </w:tbl>
    <w:bookmarkEnd w:id="27"/>
    <w:bookmarkStart w:id="30" w:name="review-and-update"/>
    <w:p>
      <w:pPr>
        <w:pStyle w:val="Heading3"/>
      </w:pPr>
      <w:r>
        <w:t xml:space="preserve">13. Review and update</w:t>
      </w:r>
    </w:p>
    <w:p>
      <w:pPr>
        <w:pStyle w:val="FirstParagraph"/>
      </w:pPr>
      <w:r>
        <w:t xml:space="preserve">The owner of each part reviews and updates it at least annually, when the system changes significantly, and when the organization-wide strategy changes (CA-7). The review checks whether the metrics are still relevant and correct, whether the frequencies still match the risk, and what trends in the data suggest, for example monitoring less often where results are stable, or more often where anomalies increase.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Date</w:t>
            </w:r>
          </w:p>
        </w:tc>
        <w:tc>
          <w:tcPr/>
          <w:p>
            <w:pPr>
              <w:pStyle w:val="Compact"/>
            </w:pPr>
            <w:r>
              <w:t xml:space="preserve">Version</w:t>
            </w:r>
          </w:p>
        </w:tc>
        <w:tc>
          <w:tcPr/>
          <w:p>
            <w:pPr>
              <w:pStyle w:val="Compact"/>
            </w:pPr>
            <w:r>
              <w:t xml:space="preserve">Change or review</w:t>
            </w:r>
          </w:p>
        </w:tc>
        <w:tc>
          <w:tcPr/>
          <w:p>
            <w:pPr>
              <w:pStyle w:val="Compact"/>
            </w:pPr>
            <w:r>
              <w:t xml:space="preserve">By</w:t>
            </w:r>
          </w:p>
        </w:tc>
      </w:tr>
      <w:tr>
        <w:tc>
          <w:tcPr/>
          <w:p>
            <w:pPr>
              <w:pStyle w:val="Compact"/>
            </w:pPr>
            <w:r>
              <w:rPr>
                <w:rStyle w:val="Fill-in"/>
              </w:rPr>
              <w:t xml:space="preserve">[Fill in: date]</w:t>
            </w:r>
          </w:p>
        </w:tc>
        <w:tc>
          <w:tcPr/>
          <w:p>
            <w:pPr>
              <w:pStyle w:val="Compact"/>
            </w:pPr>
            <w:r>
              <w:rPr>
                <w:rStyle w:val="Fill-in"/>
              </w:rPr>
              <w:t xml:space="preserve">[Fill in: version]</w:t>
            </w:r>
          </w:p>
        </w:tc>
        <w:tc>
          <w:tcPr/>
          <w:p>
            <w:pPr>
              <w:pStyle w:val="Compact"/>
            </w:pPr>
            <w:r>
              <w:rPr>
                <w:rStyle w:val="Fill-in"/>
              </w:rPr>
              <w:t xml:space="preserve">[Fill in: description]</w:t>
            </w:r>
          </w:p>
        </w:tc>
        <w:tc>
          <w:tcPr/>
          <w:p>
            <w:pPr>
              <w:pStyle w:val="Compact"/>
            </w:pPr>
            <w:r>
              <w:rPr>
                <w:rStyle w:val="Fill-in"/>
              </w:rPr>
              <w:t xml:space="preserve">[Fill in: name and title]</w:t>
            </w:r>
          </w:p>
        </w:tc>
      </w:tr>
    </w:tbl>
    <w:bookmarkStart w:id="29" w:name="federal-systems"/>
    <w:p>
      <w:pPr>
        <w:pStyle w:val="Heading4"/>
      </w:pPr>
      <w:r>
        <w:t xml:space="preserve">Federal systems</w:t>
      </w:r>
    </w:p>
    <w:p>
      <w:pPr>
        <w:pStyle w:val="FirstParagraph"/>
      </w:pPr>
      <w:hyperlink r:id="rId28">
        <w:r>
          <w:rPr>
            <w:rStyle w:val="Hyperlink"/>
          </w:rPr>
          <w:t xml:space="preserve">OMB Circular A-130</w:t>
        </w:r>
      </w:hyperlink>
      <w:r>
        <w:t xml:space="preserve">, Appendix I, section 4.d(5) to (8), requires agencies to develop and maintain an information security continuous monitoring (ISCM) strategy, update it at an agency-defined frequency, ensure all selected and implemented controls are addressed in it and effectively monitored on an ongoing basis, and keep an ISCM program with metrics that show security status and trends at every risk management tier. Section 4.d(9) adds a privacy continuous monitoring (PCM) strategy, and footnote 85 allows the two to be combined. Section 5.e says the strategies define the controls selected for assessment in each one-year period, the</w:t>
      </w:r>
      <w:r>
        <w:t xml:space="preserve"> </w:t>
      </w:r>
      <w:r>
        <w:t xml:space="preserve">“annual assessment window”</w:t>
      </w:r>
      <w:r>
        <w:t xml:space="preserve">, so not every control need be assessed every year, and that assessment frequencies are set in accordance with NIST SP 800-137. Section 5.k says the ISCM and PCM strategies</w:t>
      </w:r>
      <w:r>
        <w:t xml:space="preserve"> </w:t>
      </w:r>
      <w:r>
        <w:t xml:space="preserve">“must be approved by the appropriate agency authorizing official and SAOP, respectively,”</w:t>
      </w:r>
      <w:r>
        <w:t xml:space="preserve"> </w:t>
      </w:r>
      <w:r>
        <w:t xml:space="preserve">and must include all common controls inherited by agency information systems. Section 5.h sets the two conditions for ongoing authorization described in section 12 and requires a process in which the authorizing official formally acknowledges the transition; until then, systems keep specific termination dates. Section 5.i says that under ongoing authorization, reauthorization is typically event-driven, in response to an event or significant change that raises risk above the agency’s tolerance, and may be a complete or a targeted review. As of September 2026.</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maintain this strategy as the agency ISCM strategy and, with the</w:t>
      </w:r>
      <w:r>
        <w:t xml:space="preserve"> </w:t>
      </w:r>
      <w:r>
        <w:rPr>
          <w:rStyle w:val="Fill-in"/>
        </w:rPr>
        <w:t xml:space="preserve">[Senior privacy official]</w:t>
      </w:r>
      <w:r>
        <w:t xml:space="preserve">, as the PCM strategy, or state where the separate PCM strategy is kept, as OMB Circular A-130, Appendix I, section 4.d(5) to (9), requires. (PM-31)</w:t>
      </w:r>
    </w:p>
    <w:p>
      <w:pPr>
        <w:pStyle w:val="Compact"/>
        <w:numPr>
          <w:ilvl w:val="0"/>
          <w:numId w:val="1004"/>
        </w:numPr>
      </w:pPr>
      <w:r>
        <w:t xml:space="preserve">The ISCM strategy shall be approved by the appropriate agency authorizing official, and the PCM strategy by the</w:t>
      </w:r>
      <w:r>
        <w:t xml:space="preserve"> </w:t>
      </w:r>
      <w:r>
        <w:rPr>
          <w:rStyle w:val="Fill-in"/>
        </w:rPr>
        <w:t xml:space="preserve">[Senior privacy official]</w:t>
      </w:r>
      <w:r>
        <w:t xml:space="preserve">, as section 5.k requires; record both approvals in section 14, adding a row for the authorizing official who approves Part A. (PM-31)</w:t>
      </w:r>
    </w:p>
    <w:p>
      <w:pPr>
        <w:pStyle w:val="Compact"/>
        <w:numPr>
          <w:ilvl w:val="0"/>
          <w:numId w:val="1004"/>
        </w:numPr>
      </w:pPr>
      <w:r>
        <w:t xml:space="preserve">The</w:t>
      </w:r>
      <w:r>
        <w:t xml:space="preserve"> </w:t>
      </w:r>
      <w:r>
        <w:rPr>
          <w:rStyle w:val="Fill-in"/>
        </w:rPr>
        <w:t xml:space="preserve">[System owner]</w:t>
      </w:r>
      <w:r>
        <w:t xml:space="preserve"> </w:t>
      </w:r>
      <w:r>
        <w:t xml:space="preserve">shall ensure every control selected and implemented for the system is addressed in Part B and monitored on an ongoing basis, as section 4.d(7) requires. (CA-7)</w:t>
      </w:r>
    </w:p>
    <w:p>
      <w:pPr>
        <w:pStyle w:val="Compact"/>
        <w:numPr>
          <w:ilvl w:val="0"/>
          <w:numId w:val="1004"/>
        </w:numPr>
      </w:pPr>
      <w:r>
        <w:t xml:space="preserve">The</w:t>
      </w:r>
      <w:r>
        <w:t xml:space="preserve"> </w:t>
      </w:r>
      <w:r>
        <w:rPr>
          <w:rStyle w:val="Fill-in"/>
        </w:rPr>
        <w:t xml:space="preserve">[System owner]</w:t>
      </w:r>
      <w:r>
        <w:t xml:space="preserve"> </w:t>
      </w:r>
      <w:r>
        <w:t xml:space="preserve">shall move the system to ongoing authorization only with the authorizing official’s formal, recorded approval, after both conditions of OMB Circular A-130, Appendix I, section 5.h, are met. (CA-6e)</w:t>
      </w:r>
    </w:p>
    <w:bookmarkEnd w:id="29"/>
    <w:bookmarkEnd w:id="30"/>
    <w:bookmarkEnd w:id="31"/>
    <w:bookmarkStart w:id="32" w:name="approval"/>
    <w:p>
      <w:pPr>
        <w:pStyle w:val="Heading2"/>
      </w:pPr>
      <w:r>
        <w:t xml:space="preserve">14. Approval</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Name</w:t>
            </w:r>
          </w:p>
        </w:tc>
        <w:tc>
          <w:tcPr/>
          <w:p>
            <w:pPr>
              <w:pStyle w:val="Compact"/>
            </w:pPr>
            <w:r>
              <w:t xml:space="preserve">Title</w:t>
            </w:r>
          </w:p>
        </w:tc>
        <w:tc>
          <w:tcPr/>
          <w:p>
            <w:pPr>
              <w:pStyle w:val="Compact"/>
            </w:pPr>
            <w:r>
              <w:t xml:space="preserve">Signature</w:t>
            </w:r>
          </w:p>
        </w:tc>
        <w:tc>
          <w:tcPr/>
          <w:p>
            <w:pPr>
              <w:pStyle w:val="Compact"/>
            </w:pPr>
            <w:r>
              <w:t xml:space="preserve">Date</w:t>
            </w:r>
          </w:p>
        </w:tc>
      </w:tr>
      <w:tr>
        <w:tc>
          <w:tcPr/>
          <w:p>
            <w:pPr>
              <w:pStyle w:val="Compact"/>
            </w:pPr>
            <w:r>
              <w:rPr>
                <w:rStyle w:val="Fill-in"/>
              </w:rPr>
              <w:t xml:space="preserve">[Fill in: name]</w:t>
            </w:r>
          </w:p>
        </w:tc>
        <w:tc>
          <w:tcPr/>
          <w:p>
            <w:pPr>
              <w:pStyle w:val="Compact"/>
            </w:pPr>
            <w:r>
              <w:rPr>
                <w:rStyle w:val="Fill-in"/>
              </w:rPr>
              <w:t xml:space="preserve">[Chief Information Security Officer]</w:t>
            </w:r>
            <w:r>
              <w:t xml:space="preserve"> </w:t>
            </w:r>
            <w:r>
              <w:t xml:space="preserve">(Part A, prepared by)</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Senior accountable official for risk management, or the risk executive (function) (Part A)</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[Senior privacy official]</w:t>
            </w:r>
            <w:r>
              <w:t xml:space="preserve"> </w:t>
            </w:r>
            <w:r>
              <w:t xml:space="preserve">(Part A, for the privacy controls)</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rPr>
                <w:rStyle w:val="Fill-in"/>
              </w:rPr>
              <w:t xml:space="preserve">[System owner]</w:t>
            </w:r>
            <w:r>
              <w:t xml:space="preserve"> </w:t>
            </w:r>
            <w:r>
              <w:t xml:space="preserve">(Part B)</w:t>
            </w:r>
          </w:p>
        </w:tc>
        <w:tc>
          <w:tcPr/>
          <w:p>
            <w:pPr>
              <w:pStyle w:val="Compact"/>
            </w:pPr>
          </w:p>
        </w:tc>
        <w:tc>
          <w:tcPr/>
          <w:p>
            <w:pPr>
              <w:pStyle w:val="Compact"/>
            </w:pPr>
            <w:r>
              <w:rPr>
                <w:rStyle w:val="Fill-in"/>
              </w:rPr>
              <w:t xml:space="preserve">[Fill in: date]</w:t>
            </w:r>
          </w:p>
        </w:tc>
      </w:tr>
      <w:tr>
        <w:tc>
          <w:tcPr/>
          <w:p>
            <w:pPr>
              <w:pStyle w:val="Compact"/>
            </w:pPr>
            <w:r>
              <w:rPr>
                <w:rStyle w:val="Fill-in"/>
              </w:rPr>
              <w:t xml:space="preserve">[Fill in: name]</w:t>
            </w:r>
          </w:p>
        </w:tc>
        <w:tc>
          <w:tcPr/>
          <w:p>
            <w:pPr>
              <w:pStyle w:val="Compact"/>
            </w:pPr>
            <w:r>
              <w:t xml:space="preserve">Authorizing official (Part B)</w:t>
            </w:r>
          </w:p>
        </w:tc>
        <w:tc>
          <w:tcPr/>
          <w:p>
            <w:pPr>
              <w:pStyle w:val="Compact"/>
            </w:pPr>
          </w:p>
        </w:tc>
        <w:tc>
          <w:tcPr/>
          <w:p>
            <w:pPr>
              <w:pStyle w:val="Compact"/>
            </w:pPr>
            <w:r>
              <w:rPr>
                <w:rStyle w:val="Fill-in"/>
              </w:rPr>
              <w:t xml:space="preserve">[Fill in: date]</w:t>
            </w:r>
          </w:p>
        </w:tc>
      </w:tr>
    </w:tbl>
    <w:bookmarkEnd w:id="32"/>
    <w:bookmarkEnd w:id="3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Continuous Monitoring Strategy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5" Target="https://kston83.github.io/nist-guide/templates/forms/plan-of-action-and-milestones/" TargetMode="External" /><Relationship Type="http://schemas.openxmlformats.org/officeDocument/2006/relationships/hyperlink" Id="rId12" Target="https://kston83.github.io/nist-guide/templates/forms/system-inventory/" TargetMode="External" /><Relationship Type="http://schemas.openxmlformats.org/officeDocument/2006/relationships/hyperlink" Id="rId9" Target="https://kston83.github.io/nist-guide/templates/plans/continuous-monitoring-strategy/" TargetMode="External" /><Relationship Type="http://schemas.openxmlformats.org/officeDocument/2006/relationships/hyperlink" Id="rId11" Target="https://kston83.github.io/nist-guide/templates/plans/risk-management-strategy/" TargetMode="External" /><Relationship Type="http://schemas.openxmlformats.org/officeDocument/2006/relationships/hyperlink" Id="rId2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5" Target="https://kston83.github.io/nist-guide/templates/forms/plan-of-action-and-milestones/" TargetMode="External" /><Relationship Type="http://schemas.openxmlformats.org/officeDocument/2006/relationships/hyperlink" Id="rId12" Target="https://kston83.github.io/nist-guide/templates/forms/system-inventory/" TargetMode="External" /><Relationship Type="http://schemas.openxmlformats.org/officeDocument/2006/relationships/hyperlink" Id="rId9" Target="https://kston83.github.io/nist-guide/templates/plans/continuous-monitoring-strategy/" TargetMode="External" /><Relationship Type="http://schemas.openxmlformats.org/officeDocument/2006/relationships/hyperlink" Id="rId11" Target="https://kston83.github.io/nist-guide/templates/plans/risk-management-strategy/" TargetMode="External" /><Relationship Type="http://schemas.openxmlformats.org/officeDocument/2006/relationships/hyperlink" Id="rId2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