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information-security-program-plan"/>
    <w:p>
      <w:pPr>
        <w:pStyle w:val="Heading1"/>
      </w:pPr>
      <w:r>
        <w:t xml:space="preserve">Information Security Program Plan</w:t>
      </w:r>
    </w:p>
    <w:p>
      <w:pPr>
        <w:pStyle w:val="FirstParagraph"/>
      </w:pPr>
      <w:r>
        <w:rPr>
          <w:b/>
          <w:bCs/>
        </w:rPr>
        <w:t xml:space="preserve">Template version:</w:t>
      </w:r>
      <w:r>
        <w:t xml:space="preserve"> </w:t>
      </w:r>
      <w:r>
        <w:t xml:space="preserve">1.0.0 ·</w:t>
      </w:r>
      <w:r>
        <w:t xml:space="preserve"> </w:t>
      </w:r>
      <w:r>
        <w:rPr>
          <w:b/>
          <w:bCs/>
        </w:rPr>
        <w:t xml:space="preserve">Edition:</w:t>
      </w:r>
      <w:r>
        <w:t xml:space="preserve"> </w:t>
      </w:r>
      <w:r>
        <w:t xml:space="preserve">Annotated (with guidance) ·</w:t>
      </w:r>
      <w:r>
        <w:t xml:space="preserve"> </w:t>
      </w:r>
      <w:r>
        <w:rPr>
          <w:b/>
          <w:bCs/>
        </w:rPr>
        <w:t xml:space="preserve">NIST basis:</w:t>
      </w:r>
      <w:r>
        <w:t xml:space="preserve"> </w:t>
      </w:r>
      <w:r>
        <w:t xml:space="preserve">SP 800-53 Rev. 5, release 5.2.0</w:t>
      </w:r>
    </w:p>
    <w:p>
      <w:pPr>
        <w:pStyle w:val="BodyText"/>
      </w:pPr>
      <w:r>
        <w:rPr>
          <w:i/>
          <w:iCs/>
        </w:rPr>
        <w:t xml:space="preserve">Tailor this template before adoption; it is not legal advice.</w:t>
      </w:r>
      <w:r>
        <w:t xml:space="preserve"> </w:t>
      </w:r>
      <w:r>
        <w:t xml:space="preserve">Latest version:</w:t>
      </w:r>
      <w:r>
        <w:t xml:space="preserve"> </w:t>
      </w:r>
      <w:hyperlink r:id="rId9">
        <w:r>
          <w:rPr>
            <w:rStyle w:val="Hyperlink"/>
          </w:rPr>
          <w:t xml:space="preserve">https://kston83.github.io/nist-guide/templates/plans/information-security-program-plan/</w:t>
        </w:r>
      </w:hyperlink>
      <w:r>
        <w:t xml:space="preserve">. Dedicated to the public domain under CC0 1.0 (</w:t>
      </w:r>
      <w:hyperlink r:id="rId10">
        <w:r>
          <w:rPr>
            <w:rStyle w:val="Hyperlink"/>
          </w:rPr>
          <w:t xml:space="preserve">https://creativecommons.org/publicdomain/zero/1.0/</w:t>
        </w:r>
      </w:hyperlink>
      <w:r>
        <w:t xml:space="preserve">): adopt and change it without attribution.</w:t>
      </w:r>
    </w:p>
    <w:p>
      <w:pPr>
        <w:pStyle w:val="Guidance"/>
      </w:pPr>
      <w:r>
        <w:t xml:space="preserve">PM-1 requires an organization-wide information security program plan that gives an overview of the program’s requirements, describes the program management and common controls that meet them, assigns roles, and is approved by a senior official. NIST publishes no outline for this plan, so the sections below follow the elements of PM-1a in order, and each cites the item it meets. The plan can be one document or a set of documents, as long as this plan names the set. It describes how the organization defends itself, so restrict access to it (PM-1c).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Organization</w:t>
            </w:r>
          </w:p>
        </w:tc>
        <w:tc>
          <w:tcPr/>
          <w:p>
            <w:pPr>
              <w:pStyle w:val="Compact"/>
            </w:pPr>
            <w:r>
              <w:t xml:space="preserve">Plan version</w:t>
            </w:r>
          </w:p>
        </w:tc>
        <w:tc>
          <w:tcPr/>
          <w:p>
            <w:pPr>
              <w:pStyle w:val="Compact"/>
            </w:pPr>
            <w:r>
              <w:t xml:space="preserve">Approved by</w:t>
            </w:r>
          </w:p>
        </w:tc>
        <w:tc>
          <w:tcPr/>
          <w:p>
            <w:pPr>
              <w:pStyle w:val="Compact"/>
            </w:pPr>
            <w:r>
              <w:t xml:space="preserve">Approval date</w:t>
            </w:r>
          </w:p>
        </w:tc>
        <w:tc>
          <w:tcPr/>
          <w:p>
            <w:pPr>
              <w:pStyle w:val="Compact"/>
            </w:pPr>
            <w:r>
              <w:t xml:space="preserve">Next review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[Organization name]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version]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[Senior leader]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date]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date]</w:t>
            </w:r>
          </w:p>
        </w:tc>
      </w:tr>
    </w:tbl>
    <w:bookmarkStart w:id="11" w:name="purpose-and-scope"/>
    <w:p>
      <w:pPr>
        <w:pStyle w:val="Heading2"/>
      </w:pPr>
      <w:r>
        <w:t xml:space="preserve">1. Purpose and scope</w:t>
      </w:r>
    </w:p>
    <w:p>
      <w:pPr>
        <w:pStyle w:val="FirstParagraph"/>
      </w:pPr>
      <w:r>
        <w:t xml:space="preserve">This plan describes</w:t>
      </w:r>
      <w:r>
        <w:t xml:space="preserve"> </w:t>
      </w:r>
      <w:r>
        <w:rPr>
          <w:rStyle w:val="Fill-in"/>
        </w:rPr>
        <w:t xml:space="preserve">[Organization name]</w:t>
      </w:r>
      <w:r>
        <w:t xml:space="preserve">’s information security program: the requirements it meets, the program management and common controls that meet them, and who is responsible for each (PM-1a.1).</w:t>
      </w:r>
    </w:p>
    <w:p>
      <w:pPr>
        <w:pStyle w:val="BodyText"/>
      </w:pPr>
      <w:r>
        <w:t xml:space="preserve">It applies to all of</w:t>
      </w:r>
      <w:r>
        <w:t xml:space="preserve"> </w:t>
      </w:r>
      <w:r>
        <w:rPr>
          <w:rStyle w:val="Fill-in"/>
        </w:rPr>
        <w:t xml:space="preserve">[Organization name]</w:t>
      </w:r>
      <w:r>
        <w:t xml:space="preserve">:</w:t>
      </w:r>
      <w:r>
        <w:t xml:space="preserve"> </w:t>
      </w:r>
      <w:r>
        <w:rPr>
          <w:rStyle w:val="Fill-in"/>
        </w:rPr>
        <w:t xml:space="preserve">[Fill in: the organizational units, locations and mission and business functions the program covers]</w:t>
      </w:r>
      <w:r>
        <w:t xml:space="preserve">. The systems in scope are listed in the system inventory (PM-5).</w:t>
      </w:r>
    </w:p>
    <w:bookmarkEnd w:id="11"/>
    <w:bookmarkStart w:id="12" w:name="program-requirements"/>
    <w:p>
      <w:pPr>
        <w:pStyle w:val="Heading2"/>
      </w:pPr>
      <w:r>
        <w:t xml:space="preserve">2. Program requirements</w:t>
      </w:r>
    </w:p>
    <w:p>
      <w:pPr>
        <w:pStyle w:val="Guidance"/>
      </w:pPr>
      <w:r>
        <w:t xml:space="preserve">List the sources of requirements, not the requirements themselves. The policies and the system security plans carry the detail. Name the SP 800-53 baselines your systems use, so readers know which controls the common controls must support.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What it requires of the program</w:t>
            </w:r>
          </w:p>
        </w:tc>
        <w:tc>
          <w:tcPr/>
          <w:p>
            <w:pPr>
              <w:pStyle w:val="Compact"/>
            </w:pPr>
            <w:r>
              <w:t xml:space="preserve">Owner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law, regulation, contract or standard]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summary]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role]</w:t>
            </w:r>
          </w:p>
        </w:tc>
      </w:tr>
      <w:tr>
        <w:tc>
          <w:tcPr/>
          <w:p>
            <w:pPr>
              <w:pStyle w:val="Compact"/>
            </w:pPr>
            <w:r>
              <w:t xml:space="preserve">NIST SP 800-53 Rev. 5 and SP 800-53B</w:t>
            </w:r>
          </w:p>
        </w:tc>
        <w:tc>
          <w:tcPr/>
          <w:p>
            <w:pPr>
              <w:pStyle w:val="Compact"/>
            </w:pPr>
            <w:r>
              <w:t xml:space="preserve">Controls for each system at its baseline:</w:t>
            </w:r>
            <w:r>
              <w:t xml:space="preserve"> </w:t>
            </w:r>
            <w:r>
              <w:rPr>
                <w:rStyle w:val="Fill-in"/>
              </w:rPr>
              <w:t xml:space="preserve">[Fill in: baselines in use, for example Low and Moderate]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[Chief Information Security Officer]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[Organization name]</w:t>
            </w:r>
            <w:r>
              <w:t xml:space="preserve"> </w:t>
            </w:r>
            <w:r>
              <w:t xml:space="preserve">security policies</w:t>
            </w:r>
          </w:p>
        </w:tc>
        <w:tc>
          <w:tcPr/>
          <w:p>
            <w:pPr>
              <w:pStyle w:val="Compact"/>
            </w:pPr>
            <w:r>
              <w:t xml:space="preserve">The family policies adopted by the organization, listed in section 8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[Chief Information Security Officer]</w:t>
            </w:r>
          </w:p>
        </w:tc>
      </w:tr>
    </w:tbl>
    <w:bookmarkEnd w:id="12"/>
    <w:bookmarkStart w:id="13" w:name="roles-and-responsibilities"/>
    <w:p>
      <w:pPr>
        <w:pStyle w:val="Heading2"/>
      </w:pPr>
      <w:r>
        <w:t xml:space="preserve">3. Roles and responsibilities</w:t>
      </w:r>
    </w:p>
    <w:p>
      <w:pPr>
        <w:pStyle w:val="Guidance"/>
      </w:pPr>
      <w:r>
        <w:t xml:space="preserve">Name roles, not people, in the plan, and keep the names of the people currently in each role in an appendix or a separate roster. Assessors check that each role in PM-2, PM-10, PM-19 and PM-29 is filled and that its appointment is recorded in writing.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Role</w:t>
            </w:r>
          </w:p>
        </w:tc>
        <w:tc>
          <w:tcPr/>
          <w:p>
            <w:pPr>
              <w:pStyle w:val="Compact"/>
            </w:pPr>
            <w:r>
              <w:t xml:space="preserve">Responsibilities</w:t>
            </w:r>
          </w:p>
        </w:tc>
        <w:tc>
          <w:tcPr/>
          <w:p>
            <w:pPr>
              <w:pStyle w:val="Compact"/>
            </w:pPr>
            <w:r>
              <w:t xml:space="preserve">Appointed by</w:t>
            </w:r>
          </w:p>
        </w:tc>
        <w:tc>
          <w:tcPr/>
          <w:p>
            <w:pPr>
              <w:pStyle w:val="Compact"/>
            </w:pPr>
            <w:r>
              <w:t xml:space="preserve">Held by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[Senior leader]</w:t>
            </w:r>
          </w:p>
        </w:tc>
        <w:tc>
          <w:tcPr/>
          <w:p>
            <w:pPr>
              <w:pStyle w:val="Compact"/>
            </w:pPr>
            <w:r>
              <w:t xml:space="preserve">Approves this plan and the risk management strategy; sets risk tolerance; provides resources (PM-1a.4, PM-3)</w:t>
            </w:r>
          </w:p>
        </w:tc>
        <w:tc>
          <w:tcPr/>
          <w:p>
            <w:pPr>
              <w:pStyle w:val="Compact"/>
            </w:pPr>
            <w:r>
              <w:t xml:space="preserve">Governing body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title of the person in the role]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[Chief Information Security Officer]</w:t>
            </w:r>
          </w:p>
        </w:tc>
        <w:tc>
          <w:tcPr/>
          <w:p>
            <w:pPr>
              <w:pStyle w:val="Compact"/>
            </w:pPr>
            <w:r>
              <w:t xml:space="preserve">Leads the information security program; owns this plan (PM-2)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[Senior leader]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title]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[Senior privacy official]</w:t>
            </w:r>
          </w:p>
        </w:tc>
        <w:tc>
          <w:tcPr/>
          <w:p>
            <w:pPr>
              <w:pStyle w:val="Compact"/>
            </w:pPr>
            <w:r>
              <w:t xml:space="preserve">Leads the privacy program and its plan (PM-18, PM-19)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[Senior leader]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title]</w:t>
            </w:r>
          </w:p>
        </w:tc>
      </w:tr>
      <w:tr>
        <w:tc>
          <w:tcPr/>
          <w:p>
            <w:pPr>
              <w:pStyle w:val="Compact"/>
            </w:pPr>
            <w:r>
              <w:t xml:space="preserve">Senior accountable official for risk management</w:t>
            </w:r>
          </w:p>
        </w:tc>
        <w:tc>
          <w:tcPr/>
          <w:p>
            <w:pPr>
              <w:pStyle w:val="Compact"/>
            </w:pPr>
            <w:r>
              <w:t xml:space="preserve">Aligns security and privacy processes with strategic, operational and budget planning (PM-29a)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[Senior leader]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title]</w:t>
            </w:r>
          </w:p>
        </w:tc>
      </w:tr>
      <w:tr>
        <w:tc>
          <w:tcPr/>
          <w:p>
            <w:pPr>
              <w:pStyle w:val="Compact"/>
            </w:pPr>
            <w:r>
              <w:t xml:space="preserve">Risk executive (function)</w:t>
            </w:r>
          </w:p>
        </w:tc>
        <w:tc>
          <w:tcPr/>
          <w:p>
            <w:pPr>
              <w:pStyle w:val="Compact"/>
            </w:pPr>
            <w:r>
              <w:t xml:space="preserve">Views risk across the organization and keeps risk decisions consistent (PM-29b)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[Senior leader]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members]</w:t>
            </w:r>
          </w:p>
        </w:tc>
      </w:tr>
      <w:tr>
        <w:tc>
          <w:tcPr/>
          <w:p>
            <w:pPr>
              <w:pStyle w:val="Compact"/>
            </w:pPr>
            <w:r>
              <w:t xml:space="preserve">Authorizing officials</w:t>
            </w:r>
          </w:p>
        </w:tc>
        <w:tc>
          <w:tcPr/>
          <w:p>
            <w:pPr>
              <w:pStyle w:val="Compact"/>
            </w:pPr>
            <w:r>
              <w:t xml:space="preserve">Accept risk for the systems they authorize (PM-10b)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[Senior leader]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titles, and the systems each authorizes]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[System owner]</w:t>
            </w:r>
          </w:p>
        </w:tc>
        <w:tc>
          <w:tcPr/>
          <w:p>
            <w:pPr>
              <w:pStyle w:val="Compact"/>
            </w:pPr>
            <w:r>
              <w:t xml:space="preserve">Implements controls for the system and maintains its security plan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who appoints system owners]</w:t>
            </w:r>
          </w:p>
        </w:tc>
        <w:tc>
          <w:tcPr/>
          <w:p>
            <w:pPr>
              <w:pStyle w:val="Compact"/>
            </w:pPr>
            <w:r>
              <w:t xml:space="preserve">Named in each system security plan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Common control providers</w:t>
            </w:r>
          </w:p>
        </w:tc>
        <w:tc>
          <w:tcPr/>
          <w:p>
            <w:pPr>
              <w:pStyle w:val="Compact"/>
            </w:pPr>
            <w:r>
              <w:t xml:space="preserve">Implement and maintain the common controls in section 7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[Chief Information Security Officer]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teams]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[Security operations team]</w:t>
            </w:r>
          </w:p>
        </w:tc>
        <w:tc>
          <w:tcPr/>
          <w:p>
            <w:pPr>
              <w:pStyle w:val="Compact"/>
            </w:pPr>
            <w:r>
              <w:t xml:space="preserve">Monitors, analyzes and reports security events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[Chief Information Security Officer]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team or provider]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[Incident response team]</w:t>
            </w:r>
          </w:p>
        </w:tc>
        <w:tc>
          <w:tcPr/>
          <w:p>
            <w:pPr>
              <w:pStyle w:val="Compact"/>
            </w:pPr>
            <w:r>
              <w:t xml:space="preserve">Handles incidents under the incident response plan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[Chief Information Security Officer]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team and lead]</w:t>
            </w:r>
          </w:p>
        </w:tc>
      </w:tr>
    </w:tbl>
    <w:p>
      <w:pPr>
        <w:pStyle w:val="BodyText"/>
      </w:pPr>
      <w:r>
        <w:t xml:space="preserve">These roles are identified and assigned by this plan (PM-1a.2).</w:t>
      </w:r>
    </w:p>
    <w:bookmarkEnd w:id="13"/>
    <w:bookmarkStart w:id="14" w:name="management-commitment-and-resources"/>
    <w:p>
      <w:pPr>
        <w:pStyle w:val="Heading2"/>
      </w:pPr>
      <w:r>
        <w:t xml:space="preserve">4. Management commitment and resources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rStyle w:val="Fill-in"/>
        </w:rPr>
        <w:t xml:space="preserve">[Senior leader]</w:t>
      </w:r>
      <w:r>
        <w:t xml:space="preserve"> </w:t>
      </w:r>
      <w:r>
        <w:t xml:space="preserve">commits to the program by approving this plan and by providing the resources in the table below (PM-1a.2). Security and privacy resources are included in each capital planning and investment request (PM-3a).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Resource</w:t>
            </w:r>
          </w:p>
        </w:tc>
        <w:tc>
          <w:tcPr/>
          <w:p>
            <w:pPr>
              <w:pStyle w:val="Compact"/>
            </w:pPr>
            <w:r>
              <w:t xml:space="preserve">Current period</w:t>
            </w:r>
          </w:p>
        </w:tc>
        <w:tc>
          <w:tcPr/>
          <w:p>
            <w:pPr>
              <w:pStyle w:val="Compact"/>
            </w:pPr>
            <w:r>
              <w:t xml:space="preserve">Planned next period</w:t>
            </w:r>
          </w:p>
        </w:tc>
      </w:tr>
      <w:tr>
        <w:tc>
          <w:tcPr/>
          <w:p>
            <w:pPr>
              <w:pStyle w:val="Compact"/>
            </w:pPr>
            <w:r>
              <w:t xml:space="preserve">Security staff (full-time equivalents)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number]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number]</w:t>
            </w:r>
          </w:p>
        </w:tc>
      </w:tr>
      <w:tr>
        <w:tc>
          <w:tcPr/>
          <w:p>
            <w:pPr>
              <w:pStyle w:val="Compact"/>
            </w:pPr>
            <w:r>
              <w:t xml:space="preserve">Privacy staff (full-time equivalents)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number]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number]</w:t>
            </w:r>
          </w:p>
        </w:tc>
      </w:tr>
      <w:tr>
        <w:tc>
          <w:tcPr/>
          <w:p>
            <w:pPr>
              <w:pStyle w:val="Compact"/>
            </w:pPr>
            <w:r>
              <w:t xml:space="preserve">Budget for security tools and services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amount]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amount]</w:t>
            </w:r>
          </w:p>
        </w:tc>
      </w:tr>
      <w:tr>
        <w:tc>
          <w:tcPr/>
          <w:p>
            <w:pPr>
              <w:pStyle w:val="Compact"/>
            </w:pPr>
            <w:r>
              <w:t xml:space="preserve">External services (for example assessment, monitoring, incident response retainer)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services]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services]</w:t>
            </w:r>
          </w:p>
        </w:tc>
      </w:tr>
    </w:tbl>
    <w:bookmarkEnd w:id="14"/>
    <w:bookmarkStart w:id="15" w:name="coordination"/>
    <w:p>
      <w:pPr>
        <w:pStyle w:val="Heading2"/>
      </w:pPr>
      <w:r>
        <w:t xml:space="preserve">5. Coordination</w:t>
      </w:r>
    </w:p>
    <w:p>
      <w:pPr>
        <w:pStyle w:val="FirstParagraph"/>
      </w:pPr>
      <w:r>
        <w:t xml:space="preserve">The program is coordinated with the organizational entities below (PM-1a.3).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Entity</w:t>
            </w:r>
          </w:p>
        </w:tc>
        <w:tc>
          <w:tcPr/>
          <w:p>
            <w:pPr>
              <w:pStyle w:val="Compact"/>
            </w:pPr>
            <w:r>
              <w:t xml:space="preserve">What is coordinated</w:t>
            </w:r>
          </w:p>
        </w:tc>
        <w:tc>
          <w:tcPr/>
          <w:p>
            <w:pPr>
              <w:pStyle w:val="Compact"/>
            </w:pPr>
            <w:r>
              <w:t xml:space="preserve">How and how often</w:t>
            </w:r>
          </w:p>
        </w:tc>
      </w:tr>
      <w:tr>
        <w:tc>
          <w:tcPr/>
          <w:p>
            <w:pPr>
              <w:pStyle w:val="Compact"/>
            </w:pPr>
            <w:r>
              <w:t xml:space="preserve">Privacy office</w:t>
            </w:r>
          </w:p>
        </w:tc>
        <w:tc>
          <w:tcPr/>
          <w:p>
            <w:pPr>
              <w:pStyle w:val="Compact"/>
            </w:pPr>
            <w:r>
              <w:t xml:space="preserve">Privacy risk, privacy controls, breach response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for example monthly meeting and shared plan of action and milestones]</w:t>
            </w:r>
          </w:p>
        </w:tc>
      </w:tr>
      <w:tr>
        <w:tc>
          <w:tcPr/>
          <w:p>
            <w:pPr>
              <w:pStyle w:val="Compact"/>
            </w:pPr>
            <w:r>
              <w:t xml:space="preserve">Legal</w:t>
            </w:r>
          </w:p>
        </w:tc>
        <w:tc>
          <w:tcPr/>
          <w:p>
            <w:pPr>
              <w:pStyle w:val="Compact"/>
            </w:pPr>
            <w:r>
              <w:t xml:space="preserve">Laws, contracts, notification obligations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how]</w:t>
            </w:r>
          </w:p>
        </w:tc>
      </w:tr>
      <w:tr>
        <w:tc>
          <w:tcPr/>
          <w:p>
            <w:pPr>
              <w:pStyle w:val="Compact"/>
            </w:pPr>
            <w:r>
              <w:t xml:space="preserve">Human resources</w:t>
            </w:r>
          </w:p>
        </w:tc>
        <w:tc>
          <w:tcPr/>
          <w:p>
            <w:pPr>
              <w:pStyle w:val="Compact"/>
            </w:pPr>
            <w:r>
              <w:t xml:space="preserve">Screening, onboarding, transfers, departures, sanctions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how]</w:t>
            </w:r>
          </w:p>
        </w:tc>
      </w:tr>
      <w:tr>
        <w:tc>
          <w:tcPr/>
          <w:p>
            <w:pPr>
              <w:pStyle w:val="Compact"/>
            </w:pPr>
            <w:r>
              <w:t xml:space="preserve">Procurement</w:t>
            </w:r>
          </w:p>
        </w:tc>
        <w:tc>
          <w:tcPr/>
          <w:p>
            <w:pPr>
              <w:pStyle w:val="Compact"/>
            </w:pPr>
            <w:r>
              <w:t xml:space="preserve">Security requirements in acquisitions, supplier risk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how]</w:t>
            </w:r>
          </w:p>
        </w:tc>
      </w:tr>
      <w:tr>
        <w:tc>
          <w:tcPr/>
          <w:p>
            <w:pPr>
              <w:pStyle w:val="Compact"/>
            </w:pPr>
            <w:r>
              <w:t xml:space="preserve">Finance</w:t>
            </w:r>
          </w:p>
        </w:tc>
        <w:tc>
          <w:tcPr/>
          <w:p>
            <w:pPr>
              <w:pStyle w:val="Compact"/>
            </w:pPr>
            <w:r>
              <w:t xml:space="preserve">Security and privacy resources in budgets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how]</w:t>
            </w:r>
          </w:p>
        </w:tc>
      </w:tr>
      <w:tr>
        <w:tc>
          <w:tcPr/>
          <w:p>
            <w:pPr>
              <w:pStyle w:val="Compact"/>
            </w:pPr>
            <w:r>
              <w:t xml:space="preserve">Physical security</w:t>
            </w:r>
          </w:p>
        </w:tc>
        <w:tc>
          <w:tcPr/>
          <w:p>
            <w:pPr>
              <w:pStyle w:val="Compact"/>
            </w:pPr>
            <w:r>
              <w:t xml:space="preserve">Facility access and protection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how]</w:t>
            </w:r>
          </w:p>
        </w:tc>
      </w:tr>
      <w:tr>
        <w:tc>
          <w:tcPr/>
          <w:p>
            <w:pPr>
              <w:pStyle w:val="Compact"/>
            </w:pPr>
            <w:r>
              <w:t xml:space="preserve">Mission and business owners</w:t>
            </w:r>
          </w:p>
        </w:tc>
        <w:tc>
          <w:tcPr/>
          <w:p>
            <w:pPr>
              <w:pStyle w:val="Compact"/>
            </w:pPr>
            <w:r>
              <w:t xml:space="preserve">Risk tolerance, system priorities, continuity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how]</w:t>
            </w:r>
          </w:p>
        </w:tc>
      </w:tr>
    </w:tbl>
    <w:bookmarkEnd w:id="15"/>
    <w:bookmarkStart w:id="16" w:name="compliance-and-performance"/>
    <w:p>
      <w:pPr>
        <w:pStyle w:val="Heading2"/>
      </w:pPr>
      <w:r>
        <w:t xml:space="preserve">6. Compliance and performance</w:t>
      </w:r>
    </w:p>
    <w:p>
      <w:pPr>
        <w:pStyle w:val="Compact"/>
        <w:numPr>
          <w:ilvl w:val="0"/>
          <w:numId w:val="1001"/>
        </w:numPr>
      </w:pPr>
      <w:r>
        <w:t xml:space="preserve">Compliance with the security policies is checked through control assessments and continuous monitoring, following the continuous monitoring strategy (PM-31).</w:t>
      </w:r>
    </w:p>
    <w:p>
      <w:pPr>
        <w:pStyle w:val="Compact"/>
        <w:numPr>
          <w:ilvl w:val="0"/>
          <w:numId w:val="1001"/>
        </w:numPr>
      </w:pPr>
      <w:r>
        <w:t xml:space="preserve">Exceptions to policy are requested in writing, approved by 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, time-limited and recorded with compensating measures in</w:t>
      </w:r>
      <w:r>
        <w:t xml:space="preserve"> </w:t>
      </w:r>
      <w:r>
        <w:rPr>
          <w:rStyle w:val="Fill-in"/>
        </w:rPr>
        <w:t xml:space="preserve">[Fill in: where exceptions are recorded]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Violations are handled through the organization’s sanctions process.</w:t>
      </w:r>
    </w:p>
    <w:p>
      <w:pPr>
        <w:pStyle w:val="Compact"/>
        <w:numPr>
          <w:ilvl w:val="0"/>
          <w:numId w:val="1001"/>
        </w:numPr>
      </w:pPr>
      <w:r>
        <w:t xml:space="preserve">The program reports these measures of performance to the</w:t>
      </w:r>
      <w:r>
        <w:t xml:space="preserve"> </w:t>
      </w:r>
      <w:r>
        <w:rPr>
          <w:rStyle w:val="Fill-in"/>
        </w:rPr>
        <w:t xml:space="preserve">[Senior leader]</w:t>
      </w:r>
      <w:r>
        <w:t xml:space="preserve"> </w:t>
      </w:r>
      <w:r>
        <w:rPr>
          <w:rStyle w:val="Fill-in"/>
        </w:rPr>
        <w:t xml:space="preserve">[Fill in: how often, for example quarterly]</w:t>
      </w:r>
      <w:r>
        <w:t xml:space="preserve"> </w:t>
      </w:r>
      <w:r>
        <w:t xml:space="preserve">(PM-6):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Measure</w:t>
            </w:r>
          </w:p>
        </w:tc>
        <w:tc>
          <w:tcPr/>
          <w:p>
            <w:pPr>
              <w:pStyle w:val="Compact"/>
            </w:pPr>
            <w:r>
              <w:t xml:space="preserve">Target</w:t>
            </w:r>
          </w:p>
        </w:tc>
        <w:tc>
          <w:tcPr/>
          <w:p>
            <w:pPr>
              <w:pStyle w:val="Compact"/>
            </w:pPr>
            <w:r>
              <w:t xml:space="preserve">Source of data</w:t>
            </w:r>
          </w:p>
        </w:tc>
      </w:tr>
      <w:tr>
        <w:tc>
          <w:tcPr/>
          <w:p>
            <w:pPr>
              <w:pStyle w:val="Compact"/>
            </w:pPr>
            <w:r>
              <w:t xml:space="preserve">Systems with a current authorization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target, for example 100%]</w:t>
            </w:r>
          </w:p>
        </w:tc>
        <w:tc>
          <w:tcPr/>
          <w:p>
            <w:pPr>
              <w:pStyle w:val="Compact"/>
            </w:pPr>
            <w:r>
              <w:t xml:space="preserve">System inventory</w:t>
            </w:r>
          </w:p>
        </w:tc>
      </w:tr>
      <w:tr>
        <w:tc>
          <w:tcPr/>
          <w:p>
            <w:pPr>
              <w:pStyle w:val="Compact"/>
            </w:pPr>
            <w:r>
              <w:t xml:space="preserve">Plan of action and milestones items past their due date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target]</w:t>
            </w:r>
          </w:p>
        </w:tc>
        <w:tc>
          <w:tcPr/>
          <w:p>
            <w:pPr>
              <w:pStyle w:val="Compact"/>
            </w:pPr>
            <w:r>
              <w:t xml:space="preserve">Plans of action and milestones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Vulnerabilities remediated within the required times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target]</w:t>
            </w:r>
          </w:p>
        </w:tc>
        <w:tc>
          <w:tcPr/>
          <w:p>
            <w:pPr>
              <w:pStyle w:val="Compact"/>
            </w:pPr>
            <w:r>
              <w:t xml:space="preserve">Vulnerability scanning</w:t>
            </w:r>
          </w:p>
        </w:tc>
      </w:tr>
      <w:tr>
        <w:tc>
          <w:tcPr/>
          <w:p>
            <w:pPr>
              <w:pStyle w:val="Compact"/>
            </w:pPr>
            <w:r>
              <w:t xml:space="preserve">Personnel with current security awareness training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target]</w:t>
            </w:r>
          </w:p>
        </w:tc>
        <w:tc>
          <w:tcPr/>
          <w:p>
            <w:pPr>
              <w:pStyle w:val="Compact"/>
            </w:pPr>
            <w:r>
              <w:t xml:space="preserve">Training records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other measure]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target]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source]</w:t>
            </w:r>
          </w:p>
        </w:tc>
      </w:tr>
    </w:tbl>
    <w:p>
      <w:pPr>
        <w:pStyle w:val="BodyText"/>
      </w:pPr>
      <w:r>
        <w:t xml:space="preserve">These arrangements describe how compliance is achieved (PM-1a.2).</w:t>
      </w:r>
    </w:p>
    <w:bookmarkEnd w:id="16"/>
    <w:bookmarkStart w:id="19" w:name="program-management-and-common-controls"/>
    <w:p>
      <w:pPr>
        <w:pStyle w:val="Heading2"/>
      </w:pPr>
      <w:r>
        <w:t xml:space="preserve">7. Program management and common controls</w:t>
      </w:r>
    </w:p>
    <w:p>
      <w:pPr>
        <w:pStyle w:val="Guidance"/>
      </w:pPr>
      <w:r>
        <w:t xml:space="preserve">This is the heart of the plan for an assessor. List every program management control with how it is met, then every common control that systems inherit. A system security plan can then mark those controls as inherited from this plan, and its assessors test them once here. Mark planned controls with a target date.</w:t>
      </w:r>
    </w:p>
    <w:bookmarkStart w:id="17" w:name="program-management-controls"/>
    <w:p>
      <w:pPr>
        <w:pStyle w:val="Heading3"/>
      </w:pPr>
      <w:r>
        <w:t xml:space="preserve">Program management controls</w:t>
      </w:r>
    </w:p>
    <w:p>
      <w:pPr>
        <w:pStyle w:val="FirstParagraph"/>
      </w:pPr>
      <w:r>
        <w:t xml:space="preserve">The program management controls, their status and where each is carried out (PM-1a.1):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Control</w:t>
            </w:r>
          </w:p>
        </w:tc>
        <w:tc>
          <w:tcPr/>
          <w:p>
            <w:pPr>
              <w:pStyle w:val="Compact"/>
            </w:pPr>
            <w:r>
              <w:t xml:space="preserve">Title</w:t>
            </w:r>
          </w:p>
        </w:tc>
        <w:tc>
          <w:tcPr/>
          <w:p>
            <w:pPr>
              <w:pStyle w:val="Compact"/>
            </w:pPr>
            <w: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How it is met</w:t>
            </w:r>
          </w:p>
        </w:tc>
        <w:tc>
          <w:tcPr/>
          <w:p>
            <w:pPr>
              <w:pStyle w:val="Compact"/>
            </w:pPr>
            <w:r>
              <w:t xml:space="preserve">Owner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PM-1</w:t>
            </w:r>
          </w:p>
        </w:tc>
        <w:tc>
          <w:tcPr/>
          <w:p>
            <w:pPr>
              <w:pStyle w:val="Compact"/>
            </w:pPr>
            <w:r>
              <w:t xml:space="preserve">Information Security Program Plan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in place or planned]</w:t>
            </w:r>
          </w:p>
        </w:tc>
        <w:tc>
          <w:tcPr/>
          <w:p>
            <w:pPr>
              <w:pStyle w:val="Compact"/>
            </w:pPr>
            <w:r>
              <w:t xml:space="preserve">This plan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[Chief Information Security Officer]</w:t>
            </w:r>
          </w:p>
        </w:tc>
      </w:tr>
      <w:tr>
        <w:tc>
          <w:tcPr/>
          <w:p>
            <w:pPr>
              <w:pStyle w:val="Compact"/>
            </w:pPr>
            <w:r>
              <w:t xml:space="preserve">PM-2</w:t>
            </w:r>
          </w:p>
        </w:tc>
        <w:tc>
          <w:tcPr/>
          <w:p>
            <w:pPr>
              <w:pStyle w:val="Compact"/>
            </w:pPr>
            <w:r>
              <w:t xml:space="preserve">Information Security Program Leadership Role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status]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appointment record]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[Senior leader]</w:t>
            </w:r>
          </w:p>
        </w:tc>
      </w:tr>
      <w:tr>
        <w:tc>
          <w:tcPr/>
          <w:p>
            <w:pPr>
              <w:pStyle w:val="Compact"/>
            </w:pPr>
            <w:r>
              <w:t xml:space="preserve">PM-3</w:t>
            </w:r>
          </w:p>
        </w:tc>
        <w:tc>
          <w:tcPr/>
          <w:p>
            <w:pPr>
              <w:pStyle w:val="Compact"/>
            </w:pPr>
            <w:r>
              <w:t xml:space="preserve">Information Security and Privacy Resources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status]</w:t>
            </w:r>
          </w:p>
        </w:tc>
        <w:tc>
          <w:tcPr/>
          <w:p>
            <w:pPr>
              <w:pStyle w:val="Compact"/>
            </w:pPr>
            <w:r>
              <w:t xml:space="preserve">Section 4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[Senior leader]</w:t>
            </w:r>
          </w:p>
        </w:tc>
      </w:tr>
      <w:tr>
        <w:tc>
          <w:tcPr/>
          <w:p>
            <w:pPr>
              <w:pStyle w:val="Compact"/>
            </w:pPr>
            <w:r>
              <w:t xml:space="preserve">PM-4</w:t>
            </w:r>
          </w:p>
        </w:tc>
        <w:tc>
          <w:tcPr/>
          <w:p>
            <w:pPr>
              <w:pStyle w:val="Compact"/>
            </w:pPr>
            <w:r>
              <w:t xml:space="preserve">Plan of Action and Milestones Process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status]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process and tool]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[Chief Information Security Officer]</w:t>
            </w:r>
          </w:p>
        </w:tc>
      </w:tr>
      <w:tr>
        <w:tc>
          <w:tcPr/>
          <w:p>
            <w:pPr>
              <w:pStyle w:val="Compact"/>
            </w:pPr>
            <w:r>
              <w:t xml:space="preserve">PM-5</w:t>
            </w:r>
          </w:p>
        </w:tc>
        <w:tc>
          <w:tcPr/>
          <w:p>
            <w:pPr>
              <w:pStyle w:val="Compact"/>
            </w:pPr>
            <w:r>
              <w:t xml:space="preserve">System Inventory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status]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where the inventory is kept]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[Chief Information Security Officer]</w:t>
            </w:r>
          </w:p>
        </w:tc>
      </w:tr>
      <w:tr>
        <w:tc>
          <w:tcPr/>
          <w:p>
            <w:pPr>
              <w:pStyle w:val="Compact"/>
            </w:pPr>
            <w:r>
              <w:t xml:space="preserve">PM-6</w:t>
            </w:r>
          </w:p>
        </w:tc>
        <w:tc>
          <w:tcPr/>
          <w:p>
            <w:pPr>
              <w:pStyle w:val="Compact"/>
            </w:pPr>
            <w:r>
              <w:t xml:space="preserve">Measures of Performance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status]</w:t>
            </w:r>
          </w:p>
        </w:tc>
        <w:tc>
          <w:tcPr/>
          <w:p>
            <w:pPr>
              <w:pStyle w:val="Compact"/>
            </w:pPr>
            <w:r>
              <w:t xml:space="preserve">Section 6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[Chief Information Security Officer]</w:t>
            </w:r>
          </w:p>
        </w:tc>
      </w:tr>
      <w:tr>
        <w:tc>
          <w:tcPr/>
          <w:p>
            <w:pPr>
              <w:pStyle w:val="Compact"/>
            </w:pPr>
            <w:r>
              <w:t xml:space="preserve">PM-7</w:t>
            </w:r>
          </w:p>
        </w:tc>
        <w:tc>
          <w:tcPr/>
          <w:p>
            <w:pPr>
              <w:pStyle w:val="Compact"/>
            </w:pPr>
            <w:r>
              <w:t xml:space="preserve">Enterprise Architecture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status]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document]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owner]</w:t>
            </w:r>
          </w:p>
        </w:tc>
      </w:tr>
      <w:tr>
        <w:tc>
          <w:tcPr/>
          <w:p>
            <w:pPr>
              <w:pStyle w:val="Compact"/>
            </w:pPr>
            <w:r>
              <w:t xml:space="preserve">PM-8</w:t>
            </w:r>
          </w:p>
        </w:tc>
        <w:tc>
          <w:tcPr/>
          <w:p>
            <w:pPr>
              <w:pStyle w:val="Compact"/>
            </w:pPr>
            <w:r>
              <w:t xml:space="preserve">Critical Infrastructure Plan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status, or not applicable and why]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document]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owner]</w:t>
            </w:r>
          </w:p>
        </w:tc>
      </w:tr>
      <w:tr>
        <w:tc>
          <w:tcPr/>
          <w:p>
            <w:pPr>
              <w:pStyle w:val="Compact"/>
            </w:pPr>
            <w:r>
              <w:t xml:space="preserve">PM-9</w:t>
            </w:r>
          </w:p>
        </w:tc>
        <w:tc>
          <w:tcPr/>
          <w:p>
            <w:pPr>
              <w:pStyle w:val="Compact"/>
            </w:pPr>
            <w:r>
              <w:t xml:space="preserve">Risk Management Strategy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status]</w:t>
            </w:r>
          </w:p>
        </w:tc>
        <w:tc>
          <w:tcPr/>
          <w:p>
            <w:pPr>
              <w:pStyle w:val="Compact"/>
            </w:pPr>
            <w:r>
              <w:t xml:space="preserve">Risk management strategy, listed in section 8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[Chief Information Security Officer]</w:t>
            </w:r>
          </w:p>
        </w:tc>
      </w:tr>
      <w:tr>
        <w:tc>
          <w:tcPr/>
          <w:p>
            <w:pPr>
              <w:pStyle w:val="Compact"/>
            </w:pPr>
            <w:r>
              <w:t xml:space="preserve">PM-10</w:t>
            </w:r>
          </w:p>
        </w:tc>
        <w:tc>
          <w:tcPr/>
          <w:p>
            <w:pPr>
              <w:pStyle w:val="Compact"/>
            </w:pPr>
            <w:r>
              <w:t xml:space="preserve">Authorization Process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status]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procedure]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[Chief Information Security Officer]</w:t>
            </w:r>
          </w:p>
        </w:tc>
      </w:tr>
      <w:tr>
        <w:tc>
          <w:tcPr/>
          <w:p>
            <w:pPr>
              <w:pStyle w:val="Compact"/>
            </w:pPr>
            <w:r>
              <w:t xml:space="preserve">PM-11</w:t>
            </w:r>
          </w:p>
        </w:tc>
        <w:tc>
          <w:tcPr/>
          <w:p>
            <w:pPr>
              <w:pStyle w:val="Compact"/>
            </w:pPr>
            <w:r>
              <w:t xml:space="preserve">Mission and Business Process Definition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status]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document]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[Senior leader]</w:t>
            </w:r>
          </w:p>
        </w:tc>
      </w:tr>
      <w:tr>
        <w:tc>
          <w:tcPr/>
          <w:p>
            <w:pPr>
              <w:pStyle w:val="Compact"/>
            </w:pPr>
            <w:r>
              <w:t xml:space="preserve">PM-12</w:t>
            </w:r>
          </w:p>
        </w:tc>
        <w:tc>
          <w:tcPr/>
          <w:p>
            <w:pPr>
              <w:pStyle w:val="Compact"/>
            </w:pPr>
            <w:r>
              <w:t xml:space="preserve">Insider Threat Program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status]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program charter]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[Chief Information Security Officer]</w:t>
            </w:r>
          </w:p>
        </w:tc>
      </w:tr>
      <w:tr>
        <w:tc>
          <w:tcPr/>
          <w:p>
            <w:pPr>
              <w:pStyle w:val="Compact"/>
            </w:pPr>
            <w:r>
              <w:t xml:space="preserve">PM-13</w:t>
            </w:r>
          </w:p>
        </w:tc>
        <w:tc>
          <w:tcPr/>
          <w:p>
            <w:pPr>
              <w:pStyle w:val="Compact"/>
            </w:pPr>
            <w:r>
              <w:t xml:space="preserve">Security and Privacy Workforce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status]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program]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[Chief Information Security Officer]</w:t>
            </w:r>
          </w:p>
        </w:tc>
      </w:tr>
      <w:tr>
        <w:tc>
          <w:tcPr/>
          <w:p>
            <w:pPr>
              <w:pStyle w:val="Compact"/>
            </w:pPr>
            <w:r>
              <w:t xml:space="preserve">PM-14</w:t>
            </w:r>
          </w:p>
        </w:tc>
        <w:tc>
          <w:tcPr/>
          <w:p>
            <w:pPr>
              <w:pStyle w:val="Compact"/>
            </w:pPr>
            <w:r>
              <w:t xml:space="preserve">Testing, Training, and Monitoring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status]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plans]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[Chief Information Security Officer]</w:t>
            </w:r>
          </w:p>
        </w:tc>
      </w:tr>
      <w:tr>
        <w:tc>
          <w:tcPr/>
          <w:p>
            <w:pPr>
              <w:pStyle w:val="Compact"/>
            </w:pPr>
            <w:r>
              <w:t xml:space="preserve">PM-15</w:t>
            </w:r>
          </w:p>
        </w:tc>
        <w:tc>
          <w:tcPr/>
          <w:p>
            <w:pPr>
              <w:pStyle w:val="Compact"/>
            </w:pPr>
            <w:r>
              <w:t xml:space="preserve">Security and Privacy Groups and Associations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status]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groups]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[Chief Information Security Officer]</w:t>
            </w:r>
          </w:p>
        </w:tc>
      </w:tr>
      <w:tr>
        <w:tc>
          <w:tcPr/>
          <w:p>
            <w:pPr>
              <w:pStyle w:val="Compact"/>
            </w:pPr>
            <w:r>
              <w:t xml:space="preserve">PM-16</w:t>
            </w:r>
          </w:p>
        </w:tc>
        <w:tc>
          <w:tcPr/>
          <w:p>
            <w:pPr>
              <w:pStyle w:val="Compact"/>
            </w:pPr>
            <w:r>
              <w:t xml:space="preserve">Threat Awareness Program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status]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program and sharing partners]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[Chief Information Security Officer]</w:t>
            </w:r>
          </w:p>
        </w:tc>
      </w:tr>
      <w:tr>
        <w:tc>
          <w:tcPr/>
          <w:p>
            <w:pPr>
              <w:pStyle w:val="Compact"/>
            </w:pPr>
            <w:r>
              <w:t xml:space="preserve">PM-17</w:t>
            </w:r>
          </w:p>
        </w:tc>
        <w:tc>
          <w:tcPr/>
          <w:p>
            <w:pPr>
              <w:pStyle w:val="Compact"/>
            </w:pPr>
            <w:r>
              <w:t xml:space="preserve">Protecting Controlled Unclassified Information on External Systems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status, or not applicable and why]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policy and procedures]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[Chief Information Security Officer]</w:t>
            </w:r>
          </w:p>
        </w:tc>
      </w:tr>
      <w:tr>
        <w:tc>
          <w:tcPr/>
          <w:p>
            <w:pPr>
              <w:pStyle w:val="Compact"/>
            </w:pPr>
            <w:r>
              <w:t xml:space="preserve">PM-18 to PM-27</w:t>
            </w:r>
          </w:p>
        </w:tc>
        <w:tc>
          <w:tcPr/>
          <w:p>
            <w:pPr>
              <w:pStyle w:val="Compact"/>
            </w:pPr>
            <w:r>
              <w:t xml:space="preserve">Privacy program controls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status]</w:t>
            </w:r>
          </w:p>
        </w:tc>
        <w:tc>
          <w:tcPr/>
          <w:p>
            <w:pPr>
              <w:pStyle w:val="Compact"/>
            </w:pPr>
            <w:r>
              <w:t xml:space="preserve">Privacy program plan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[Senior privacy official]</w:t>
            </w:r>
          </w:p>
        </w:tc>
      </w:tr>
      <w:tr>
        <w:tc>
          <w:tcPr/>
          <w:p>
            <w:pPr>
              <w:pStyle w:val="Compact"/>
            </w:pPr>
            <w:r>
              <w:t xml:space="preserve">PM-28</w:t>
            </w:r>
          </w:p>
        </w:tc>
        <w:tc>
          <w:tcPr/>
          <w:p>
            <w:pPr>
              <w:pStyle w:val="Compact"/>
            </w:pPr>
            <w:r>
              <w:t xml:space="preserve">Risk Framing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status]</w:t>
            </w:r>
          </w:p>
        </w:tc>
        <w:tc>
          <w:tcPr/>
          <w:p>
            <w:pPr>
              <w:pStyle w:val="Compact"/>
            </w:pPr>
            <w:r>
              <w:t xml:space="preserve">Risk management strategy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[Chief Information Security Officer]</w:t>
            </w:r>
          </w:p>
        </w:tc>
      </w:tr>
      <w:tr>
        <w:tc>
          <w:tcPr/>
          <w:p>
            <w:pPr>
              <w:pStyle w:val="Compact"/>
            </w:pPr>
            <w:r>
              <w:t xml:space="preserve">PM-29</w:t>
            </w:r>
          </w:p>
        </w:tc>
        <w:tc>
          <w:tcPr/>
          <w:p>
            <w:pPr>
              <w:pStyle w:val="Compact"/>
            </w:pPr>
            <w:r>
              <w:t xml:space="preserve">Risk Management Program Leadership Roles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status]</w:t>
            </w:r>
          </w:p>
        </w:tc>
        <w:tc>
          <w:tcPr/>
          <w:p>
            <w:pPr>
              <w:pStyle w:val="Compact"/>
            </w:pPr>
            <w:r>
              <w:t xml:space="preserve">Section 3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[Senior leader]</w:t>
            </w:r>
          </w:p>
        </w:tc>
      </w:tr>
      <w:tr>
        <w:tc>
          <w:tcPr/>
          <w:p>
            <w:pPr>
              <w:pStyle w:val="Compact"/>
            </w:pPr>
            <w:r>
              <w:t xml:space="preserve">PM-30</w:t>
            </w:r>
          </w:p>
        </w:tc>
        <w:tc>
          <w:tcPr/>
          <w:p>
            <w:pPr>
              <w:pStyle w:val="Compact"/>
            </w:pPr>
            <w:r>
              <w:t xml:space="preserve">Supply Chain Risk Management Strategy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status]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document]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[Chief Information Security Officer]</w:t>
            </w:r>
          </w:p>
        </w:tc>
      </w:tr>
      <w:tr>
        <w:tc>
          <w:tcPr/>
          <w:p>
            <w:pPr>
              <w:pStyle w:val="Compact"/>
            </w:pPr>
            <w:r>
              <w:t xml:space="preserve">PM-31</w:t>
            </w:r>
          </w:p>
        </w:tc>
        <w:tc>
          <w:tcPr/>
          <w:p>
            <w:pPr>
              <w:pStyle w:val="Compact"/>
            </w:pPr>
            <w:r>
              <w:t xml:space="preserve">Continuous Monitoring Strategy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status]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document]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[Chief Information Security Officer]</w:t>
            </w:r>
          </w:p>
        </w:tc>
      </w:tr>
      <w:tr>
        <w:tc>
          <w:tcPr/>
          <w:p>
            <w:pPr>
              <w:pStyle w:val="Compact"/>
            </w:pPr>
            <w:r>
              <w:t xml:space="preserve">PM-32</w:t>
            </w:r>
          </w:p>
        </w:tc>
        <w:tc>
          <w:tcPr/>
          <w:p>
            <w:pPr>
              <w:pStyle w:val="Compact"/>
            </w:pPr>
            <w:r>
              <w:t xml:space="preserve">Purposing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status]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analysis]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[Chief Information Security Officer]</w:t>
            </w:r>
          </w:p>
        </w:tc>
      </w:tr>
    </w:tbl>
    <w:bookmarkEnd w:id="17"/>
    <w:bookmarkStart w:id="18" w:name="common-controls"/>
    <w:p>
      <w:pPr>
        <w:pStyle w:val="Heading3"/>
      </w:pPr>
      <w:r>
        <w:t xml:space="preserve">Common controls</w:t>
      </w:r>
    </w:p>
    <w:p>
      <w:pPr>
        <w:pStyle w:val="FirstParagraph"/>
      </w:pPr>
      <w:r>
        <w:t xml:space="preserve">Controls that the organization provides once and systems inherit, fully or in part (PM-1a.1):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Control</w:t>
            </w:r>
          </w:p>
        </w:tc>
        <w:tc>
          <w:tcPr/>
          <w:p>
            <w:pPr>
              <w:pStyle w:val="Compact"/>
            </w:pPr>
            <w:r>
              <w:t xml:space="preserve">Common control provider</w:t>
            </w:r>
          </w:p>
        </w:tc>
        <w:tc>
          <w:tcPr/>
          <w:p>
            <w:pPr>
              <w:pStyle w:val="Compact"/>
            </w:pPr>
            <w:r>
              <w:t xml:space="preserve">Inherited by</w:t>
            </w:r>
          </w:p>
        </w:tc>
        <w:tc>
          <w:tcPr/>
          <w:p>
            <w:pPr>
              <w:pStyle w:val="Compact"/>
            </w:pPr>
            <w:r>
              <w:t xml:space="preserve">Fully or partly</w:t>
            </w:r>
          </w:p>
        </w:tc>
        <w:tc>
          <w:tcPr/>
          <w:p>
            <w:pPr>
              <w:pStyle w:val="Compact"/>
            </w:pPr>
            <w: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Where documented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for example AT-2]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for example the security awareness team]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all systems, or named systems]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fully or partly]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in place or planned, with date]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document or record]</w:t>
            </w:r>
          </w:p>
        </w:tc>
      </w:tr>
    </w:tbl>
    <w:bookmarkEnd w:id="18"/>
    <w:bookmarkEnd w:id="19"/>
    <w:bookmarkStart w:id="20" w:name="related-plans-strategies-and-policies"/>
    <w:p>
      <w:pPr>
        <w:pStyle w:val="Heading2"/>
      </w:pPr>
      <w:r>
        <w:t xml:space="preserve">8. Related plans, strategies and policies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Document</w:t>
            </w:r>
          </w:p>
        </w:tc>
        <w:tc>
          <w:tcPr/>
          <w:p>
            <w:pPr>
              <w:pStyle w:val="Compact"/>
            </w:pPr>
            <w:r>
              <w:t xml:space="preserve">Control</w:t>
            </w:r>
          </w:p>
        </w:tc>
        <w:tc>
          <w:tcPr/>
          <w:p>
            <w:pPr>
              <w:pStyle w:val="Compact"/>
            </w:pPr>
            <w:r>
              <w:t xml:space="preserve">Location</w:t>
            </w:r>
          </w:p>
        </w:tc>
        <w:tc>
          <w:tcPr/>
          <w:p>
            <w:pPr>
              <w:pStyle w:val="Compact"/>
            </w:pPr>
            <w:r>
              <w:t xml:space="preserve">Last approved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Risk management strategy</w:t>
            </w:r>
          </w:p>
        </w:tc>
        <w:tc>
          <w:tcPr/>
          <w:p>
            <w:pPr>
              <w:pStyle w:val="Compact"/>
            </w:pPr>
            <w:r>
              <w:t xml:space="preserve">PM-9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location]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date]</w:t>
            </w:r>
          </w:p>
        </w:tc>
      </w:tr>
      <w:tr>
        <w:tc>
          <w:tcPr/>
          <w:p>
            <w:pPr>
              <w:pStyle w:val="Compact"/>
            </w:pPr>
            <w:r>
              <w:t xml:space="preserve">Privacy program plan</w:t>
            </w:r>
          </w:p>
        </w:tc>
        <w:tc>
          <w:tcPr/>
          <w:p>
            <w:pPr>
              <w:pStyle w:val="Compact"/>
            </w:pPr>
            <w:r>
              <w:t xml:space="preserve">PM-18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location]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date]</w:t>
            </w:r>
          </w:p>
        </w:tc>
      </w:tr>
      <w:tr>
        <w:tc>
          <w:tcPr/>
          <w:p>
            <w:pPr>
              <w:pStyle w:val="Compact"/>
            </w:pPr>
            <w:r>
              <w:t xml:space="preserve">Supply chain risk management strategy</w:t>
            </w:r>
          </w:p>
        </w:tc>
        <w:tc>
          <w:tcPr/>
          <w:p>
            <w:pPr>
              <w:pStyle w:val="Compact"/>
            </w:pPr>
            <w:r>
              <w:t xml:space="preserve">PM-30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location]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date]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Continuous monitoring strategy</w:t>
            </w:r>
          </w:p>
        </w:tc>
        <w:tc>
          <w:tcPr/>
          <w:p>
            <w:pPr>
              <w:pStyle w:val="Compact"/>
            </w:pPr>
            <w:r>
              <w:t xml:space="preserve">PM-31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location]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date]</w:t>
            </w:r>
          </w:p>
        </w:tc>
      </w:tr>
      <w:tr>
        <w:tc>
          <w:tcPr/>
          <w:p>
            <w:pPr>
              <w:pStyle w:val="Compact"/>
            </w:pPr>
            <w:r>
              <w:t xml:space="preserve">Family policies</w:t>
            </w:r>
          </w:p>
        </w:tc>
        <w:tc>
          <w:tcPr/>
          <w:p>
            <w:pPr>
              <w:pStyle w:val="Compact"/>
            </w:pPr>
            <w:r>
              <w:t xml:space="preserve">The -1 control of each family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location]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date]</w:t>
            </w:r>
          </w:p>
        </w:tc>
      </w:tr>
      <w:tr>
        <w:tc>
          <w:tcPr/>
          <w:p>
            <w:pPr>
              <w:pStyle w:val="Compact"/>
            </w:pPr>
            <w:r>
              <w:t xml:space="preserve">Incident response plan</w:t>
            </w:r>
          </w:p>
        </w:tc>
        <w:tc>
          <w:tcPr/>
          <w:p>
            <w:pPr>
              <w:pStyle w:val="Compact"/>
            </w:pPr>
            <w:r>
              <w:t xml:space="preserve">IR-8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location]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date]</w:t>
            </w:r>
          </w:p>
        </w:tc>
      </w:tr>
    </w:tbl>
    <w:bookmarkEnd w:id="20"/>
    <w:bookmarkStart w:id="21" w:name="approval"/>
    <w:p>
      <w:pPr>
        <w:pStyle w:val="Heading2"/>
      </w:pPr>
      <w:r>
        <w:t xml:space="preserve">9. Approval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rStyle w:val="Fill-in"/>
        </w:rPr>
        <w:t xml:space="preserve">[Senior leader]</w:t>
      </w:r>
      <w:r>
        <w:t xml:space="preserve"> </w:t>
      </w:r>
      <w:r>
        <w:t xml:space="preserve">approves this plan as the senior official responsible and accountable for the risk that</w:t>
      </w:r>
      <w:r>
        <w:t xml:space="preserve"> </w:t>
      </w:r>
      <w:r>
        <w:rPr>
          <w:rStyle w:val="Fill-in"/>
        </w:rPr>
        <w:t xml:space="preserve">[Organization name]</w:t>
      </w:r>
      <w:r>
        <w:t xml:space="preserve"> </w:t>
      </w:r>
      <w:r>
        <w:t xml:space="preserve">incurs to its operations, assets, individuals, other organizations and the Nation (PM-1a.4).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Name</w:t>
            </w:r>
          </w:p>
        </w:tc>
        <w:tc>
          <w:tcPr/>
          <w:p>
            <w:pPr>
              <w:pStyle w:val="Compact"/>
            </w:pPr>
            <w:r>
              <w:t xml:space="preserve">Title</w:t>
            </w:r>
          </w:p>
        </w:tc>
        <w:tc>
          <w:tcPr/>
          <w:p>
            <w:pPr>
              <w:pStyle w:val="Compact"/>
            </w:pPr>
            <w:r>
              <w:t xml:space="preserve">Signature</w:t>
            </w:r>
          </w:p>
        </w:tc>
        <w:tc>
          <w:tcPr/>
          <w:p>
            <w:pPr>
              <w:pStyle w:val="Compact"/>
            </w:pPr>
            <w: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name]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[Senior leader]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date]</w:t>
            </w:r>
          </w:p>
        </w:tc>
      </w:tr>
    </w:tbl>
    <w:bookmarkEnd w:id="21"/>
    <w:bookmarkStart w:id="25" w:name="review-change-history-and-protection"/>
    <w:p>
      <w:pPr>
        <w:pStyle w:val="Heading2"/>
      </w:pPr>
      <w:r>
        <w:t xml:space="preserve">10. Review, change history and protection</w:t>
      </w:r>
    </w:p>
    <w:p>
      <w:pPr>
        <w:pStyle w:val="Compact"/>
        <w:numPr>
          <w:ilvl w:val="0"/>
          <w:numId w:val="1002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 </w:t>
      </w:r>
      <w:r>
        <w:t xml:space="preserve">shall review and update this plan</w:t>
      </w:r>
      <w:r>
        <w:t xml:space="preserve"> </w:t>
      </w:r>
      <w:r>
        <w:rPr>
          <w:rStyle w:val="Fill-in"/>
        </w:rPr>
        <w:t xml:space="preserve">[Fill in: the frequency at which to review and update the organization-wide information security program plan. Typical: annually]</w:t>
      </w:r>
      <w:r>
        <w:t xml:space="preserve"> </w:t>
      </w:r>
      <w:r>
        <w:t xml:space="preserve">and following</w:t>
      </w:r>
      <w:r>
        <w:t xml:space="preserve"> </w:t>
      </w:r>
      <w:r>
        <w:rPr>
          <w:rStyle w:val="Fill-in"/>
        </w:rPr>
        <w:t xml:space="preserve">[Fill in: events that trigger the review and update of the organization-wide information security program plan. Typical: a significant change to the organization’s mission, structure, risk tolerance or systems, a major incident, or a finding from an assessment or audit of the program]</w:t>
      </w:r>
      <w:r>
        <w:t xml:space="preserve">. (PM-1b)</w:t>
      </w:r>
    </w:p>
    <w:p>
      <w:pPr>
        <w:pStyle w:val="Compact"/>
        <w:numPr>
          <w:ilvl w:val="0"/>
          <w:numId w:val="1002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 </w:t>
      </w:r>
      <w:r>
        <w:t xml:space="preserve">shall protect this plan from unauthorized disclosure and modification by keeping it in</w:t>
      </w:r>
      <w:r>
        <w:t xml:space="preserve"> </w:t>
      </w:r>
      <w:r>
        <w:rPr>
          <w:rStyle w:val="Fill-in"/>
        </w:rPr>
        <w:t xml:space="preserve">[Fill in: where the plan is kept, with access limited to named roles]</w:t>
      </w:r>
      <w:r>
        <w:t xml:space="preserve"> </w:t>
      </w:r>
      <w:r>
        <w:t xml:space="preserve">and keeping each approved version. (PM-1c)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Date</w:t>
            </w:r>
          </w:p>
        </w:tc>
        <w:tc>
          <w:tcPr/>
          <w:p>
            <w:pPr>
              <w:pStyle w:val="Compact"/>
            </w:pPr>
            <w:r>
              <w:t xml:space="preserve">Change</w:t>
            </w:r>
          </w:p>
        </w:tc>
        <w:tc>
          <w:tcPr/>
          <w:p>
            <w:pPr>
              <w:pStyle w:val="Compact"/>
            </w:pPr>
            <w:r>
              <w:t xml:space="preserve">Approved by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version]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date]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summary of change]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name and title]</w:t>
            </w:r>
          </w:p>
        </w:tc>
      </w:tr>
    </w:tbl>
    <w:bookmarkStart w:id="24" w:name="federal-systems"/>
    <w:p>
      <w:pPr>
        <w:pStyle w:val="Heading3"/>
      </w:pPr>
      <w:r>
        <w:t xml:space="preserve">Federal systems</w:t>
      </w:r>
    </w:p>
    <w:p>
      <w:pPr>
        <w:pStyle w:val="FirstParagraph"/>
      </w:pPr>
      <w:r>
        <w:t xml:space="preserve">For federal agencies, this plan documents the agency-wide information security program required by the Federal Information Security Modernization Act of 2014 (</w:t>
      </w:r>
      <w:hyperlink r:id="rId22">
        <w:r>
          <w:rPr>
            <w:rStyle w:val="Hyperlink"/>
          </w:rPr>
          <w:t xml:space="preserve">44 U.S.C. § 3554(b)</w:t>
        </w:r>
      </w:hyperlink>
      <w:r>
        <w:t xml:space="preserve">). 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 </w:t>
      </w:r>
      <w:r>
        <w:t xml:space="preserve">is the senior agency information security officer designated under 44 U.S.C. § 3554(a)(3)(A), and the</w:t>
      </w:r>
      <w:r>
        <w:t xml:space="preserve"> </w:t>
      </w:r>
      <w:r>
        <w:rPr>
          <w:rStyle w:val="Fill-in"/>
        </w:rPr>
        <w:t xml:space="preserve">[Senior privacy official]</w:t>
      </w:r>
      <w:r>
        <w:t xml:space="preserve"> </w:t>
      </w:r>
      <w:r>
        <w:t xml:space="preserve">is the Senior Agency Official for Privacy designated under</w:t>
      </w:r>
      <w:r>
        <w:t xml:space="preserve"> </w:t>
      </w:r>
      <w:hyperlink r:id="rId23">
        <w:r>
          <w:rPr>
            <w:rStyle w:val="Hyperlink"/>
          </w:rPr>
          <w:t xml:space="preserve">OMB Circular A-130</w:t>
        </w:r>
      </w:hyperlink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Section 2 shall list the federal laws, OMB policies and CISA directives that apply to the agency’s systems. (PM-1a.1)</w:t>
      </w:r>
    </w:p>
    <w:bookmarkEnd w:id="24"/>
    <w:bookmarkEnd w:id="25"/>
    <w:bookmarkEnd w:id="26"/>
    <w:sectPr>
      <w:headerReference r:id="rIdPres06Header" w:type="default"/>
      <w:footerReference r:id="rIdPres06Footer" w:type="default"/>
      <w:footnotePr>
        <w:numRestart w:val="eachSect"/>
      </w:footnotePr>
      <w:pgSz w:h="15840" w:w="12240"/>
      <w:pgMar w:bottom="1440" w:footer="720" w:gutter="0" w:header="720" w:left="1440" w:right="1440" w:top="144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</w:pPr>
    <w:r>
      <w:t xml:space="preserve">Page </w:t>
    </w:r>
    <w:fldSimple w:instr=" PAGE ">
      <w:r>
        <w:t xml:space="preserve">1</w:t>
      </w:r>
    </w:fldSimple>
    <w:r>
      <w:t xml:space="preserve"> of </w:t>
    </w:r>
    <w:fldSimple w:instr=" NUMPAGES ">
      <w:r>
        <w:t xml:space="preserve">1</w:t>
      </w:r>
    </w:fldSimple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w="http://schemas.openxmlformats.org/wordprocessingml/2006/main" xmlns:r="http://schemas.openxmlformats.org/officeDocument/2006/relationships">
  <w:p>
    <w:pPr>
      <w:pStyle w:val="Header"/>
    </w:pPr>
    <w:r>
      <w:t xml:space="preserve">Information Security Program Plan</w:t>
    </w:r>
    <w:r>
      <w:tab/>
    </w:r>
    <w:r>
      <w:t xml:space="preserve">Version 1.0.0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Theme="minorEastAsia" w:hAnsi="Calibri"/>
        <w:sz w:val="22"/>
        <w:szCs w:val="22"/>
        <w:lang w:bidi="ar-SA" w:eastAsia="zh-CN" w:val="en-US"/>
      </w:rPr>
    </w:rPrDefault>
    <w:pPrDefault>
      <w:pPr>
        <w:spacing w:after="120" w:line="264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60" w:before="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pPr>
      <w:spacing w:after="240"/>
      <w:contextualSpacing/>
    </w:pPr>
    <w:rPr>
      <w:rFonts w:ascii="Georgia" w:cs="Georgia" w:eastAsiaTheme="minorEastAsia" w:hAnsi="Georgia"/>
      <w:color w:val="0F5C5A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pPr>
      <w:keepNext/>
      <w:keepLines/>
      <w:spacing w:after="120" w:before="360"/>
      <w:outlineLvl w:val="0"/>
    </w:pPr>
    <w:rPr>
      <w:rFonts w:ascii="Georgia" w:cs="Georgia" w:eastAsiaTheme="minorEastAsia" w:hAnsi="Georgia"/>
      <w:color w:val="0F5C5A"/>
      <w:sz w:val="36"/>
      <w:szCs w:val="36"/>
    </w:rPr>
  </w:style>
  <w:style w:styleId="Heading2" w:type="paragraph">
    <w:name w:val="heading 2"/>
    <w:basedOn w:val="Normal"/>
    <w:next w:val="BodyText"/>
    <w:link w:val="Heading2Char"/>
    <w:uiPriority w:val="9"/>
    <w:qFormat/>
    <w:pPr>
      <w:keepNext/>
      <w:keepLines/>
      <w:spacing w:after="100" w:before="300"/>
      <w:outlineLvl w:val="1"/>
    </w:pPr>
    <w:rPr>
      <w:rFonts w:ascii="Georgia" w:cs="Georgia" w:eastAsiaTheme="minorEastAsia" w:hAnsi="Georgia"/>
      <w:color w:val="0F5C5A"/>
      <w:sz w:val="28"/>
      <w:szCs w:val="28"/>
    </w:rPr>
  </w:style>
  <w:style w:styleId="Heading3" w:type="paragraph">
    <w:name w:val="heading 3"/>
    <w:basedOn w:val="Normal"/>
    <w:next w:val="BodyText"/>
    <w:link w:val="Heading3Char"/>
    <w:uiPriority w:val="9"/>
    <w:qFormat/>
    <w:pPr>
      <w:keepNext/>
      <w:keepLines/>
      <w:spacing w:after="80" w:before="240"/>
      <w:outlineLvl w:val="2"/>
    </w:pPr>
    <w:rPr>
      <w:rFonts w:ascii="Georgia" w:cs="Georgia" w:eastAsiaTheme="minorEastAsia" w:hAnsi="Georgia"/>
      <w:b/>
      <w:bCs/>
      <w:color w:val="093A39"/>
      <w:sz w:val="24"/>
      <w:szCs w:val="24"/>
    </w:rPr>
  </w:style>
  <w:style w:styleId="Heading4" w:type="paragraph">
    <w:name w:val="heading 4"/>
    <w:basedOn w:val="Normal"/>
    <w:next w:val="BodyText"/>
    <w:link w:val="Heading4Char"/>
    <w:uiPriority w:val="9"/>
    <w:qFormat/>
    <w:pPr>
      <w:keepNext/>
      <w:keepLines/>
      <w:spacing w:after="60" w:before="200"/>
      <w:outlineLvl w:val="3"/>
    </w:pPr>
    <w:rPr>
      <w:rFonts w:ascii="Calibri" w:cs="Calibri" w:eastAsiaTheme="minorEastAsia" w:hAnsi="Calibri"/>
      <w:b/>
      <w:bCs/>
      <w:color w:val="093A39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uiPriority w:val="59"/>
    <w:qFormat/>
    <w:pPr>
      <w:spacing w:after="0" w:before="0"/>
    </w:pPr>
    <w:rPr>
      <w:sz w:val="20"/>
      <w:szCs w:val="20"/>
    </w:rPr>
    <w:tblPr>
      <w:tblInd w:type="dxa" w:w="0"/>
      <w:tblBorders>
        <w:top w:color="BFBFBF" w:space="0" w:sz="4" w:val="single"/>
        <w:left w:color="BFBFBF" w:space="0" w:sz="4" w:val="single"/>
        <w:bottom w:color="BFBFBF" w:space="0" w:sz="4" w:val="single"/>
        <w:right w:color="BFBFBF" w:space="0" w:sz="4" w:val="single"/>
        <w:insideH w:color="BFBFBF" w:space="0" w:sz="4" w:val="single"/>
        <w:insideV w:color="BFBFBF" w:space="0" w:sz="4" w:val="single"/>
      </w:tblBorders>
      <w:tblCellMar>
        <w:top w:type="dxa" w:w="60"/>
        <w:left w:type="dxa" w:w="108"/>
        <w:bottom w:type="dxa" w:w="60"/>
        <w:right w:type="dxa" w:w="108"/>
      </w:tblCellMar>
    </w:tblPr>
    <w:tblStylePr w:type="firstRow">
      <w:rPr>
        <w:b/>
        <w:bCs/>
        <w:color w:val="FFFFFF"/>
      </w:rPr>
      <w:tcPr>
        <w:shd w:color="auto" w:fill="0F5C5A" w:val="clear"/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0F5C5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Fill-in" w:type="character">
    <w:name w:val="Fill-in"/>
    <w:rPr>
      <w:highlight w:val="yellow"/>
    </w:rPr>
  </w:style>
  <w:style w:customStyle="1" w:styleId="Guidance" w:type="paragraph">
    <w:name w:val="Guidance"/>
    <w:basedOn w:val="Normal"/>
    <w:qFormat/>
    <w:pPr>
      <w:pBdr>
        <w:left w:color="0F5C5A" w:space="8" w:sz="18" w:val="single"/>
      </w:pBdr>
      <w:shd w:color="auto" w:fill="EAF4F3" w:val="clear"/>
      <w:ind w:left="284"/>
    </w:pPr>
    <w:rPr>
      <w:i/>
    </w:rPr>
  </w:style>
  <w:style w:styleId="Header" w:type="paragraph">
    <w:name w:val="header"/>
    <w:basedOn w:val="Normal"/>
    <w:uiPriority w:val="99"/>
    <w:unhideWhenUsed/>
    <w:pPr>
      <w:pBdr>
        <w:bottom w:color="0F5C5A" w:space="4" w:sz="4" w:val="single"/>
      </w:pBdr>
      <w:tabs>
        <w:tab w:pos="9360" w:val="right"/>
      </w:tabs>
      <w:spacing w:after="0"/>
    </w:pPr>
    <w:rPr>
      <w:color w:val="595959"/>
      <w:sz w:val="18"/>
      <w:szCs w:val="18"/>
    </w:rPr>
  </w:style>
  <w:style w:styleId="Footer" w:type="paragraph">
    <w:name w:val="footer"/>
    <w:basedOn w:val="Normal"/>
    <w:uiPriority w:val="99"/>
    <w:unhideWhenUsed/>
    <w:pPr>
      <w:jc w:val="center"/>
      <w:spacing w:after="0"/>
    </w:pPr>
    <w:rPr>
      <w:color w:val="595959"/>
      <w:sz w:val="18"/>
      <w:szCs w:val="18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Pres06Header" Target="header1.xml" Type="http://schemas.openxmlformats.org/officeDocument/2006/relationships/header" /><Relationship Id="rIdPres06Footer" Target="footer1.xml" Type="http://schemas.openxmlformats.org/officeDocument/2006/relationships/footer" /><Relationship Type="http://schemas.openxmlformats.org/officeDocument/2006/relationships/hyperlink" Id="rId10" Target="https://creativecommons.org/publicdomain/zero/1.0/" TargetMode="External" /><Relationship Type="http://schemas.openxmlformats.org/officeDocument/2006/relationships/hyperlink" Id="rId9" Target="https://kston83.github.io/nist-guide/templates/plans/information-security-program-plan/" TargetMode="External" /><Relationship Type="http://schemas.openxmlformats.org/officeDocument/2006/relationships/hyperlink" Id="rId22" Target="https://uscode.house.gov/view.xhtml?req=granuleid:USC-prelim-title44-section3554&amp;num=0&amp;edition=prelim" TargetMode="External" /><Relationship Type="http://schemas.openxmlformats.org/officeDocument/2006/relationships/hyperlink" Id="rId23" Target="https://www.whitehouse.gov/wp-content/uploads/legacy_drupal_files/omb/circulars/A130/a130revised.pd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https://creativecommons.org/publicdomain/zero/1.0/" TargetMode="External" /><Relationship Type="http://schemas.openxmlformats.org/officeDocument/2006/relationships/hyperlink" Id="rId9" Target="https://kston83.github.io/nist-guide/templates/plans/information-security-program-plan/" TargetMode="External" /><Relationship Type="http://schemas.openxmlformats.org/officeDocument/2006/relationships/hyperlink" Id="rId22" Target="https://uscode.house.gov/view.xhtml?req=granuleid:USC-prelim-title44-section3554&amp;num=0&amp;edition=prelim" TargetMode="External" /><Relationship Type="http://schemas.openxmlformats.org/officeDocument/2006/relationships/hyperlink" Id="rId23" Target="https://www.whitehouse.gov/wp-content/uploads/legacy_drupal_files/omb/circulars/A130/a130revised.pd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2026-10-16T17:54:52Z</dcterms:created>
  <dcterms:modified xsi:type="dcterms:W3CDTF">2026-10-16T17:54:52Z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