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system-security-plan"/>
    <w:p>
      <w:pPr>
        <w:pStyle w:val="Heading1"/>
      </w:pPr>
      <w:r>
        <w:t xml:space="preserve">System Security Plan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https://kston83.github.io/nist-guide/templates/plans/system-security-plan/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 name</w:t>
            </w:r>
          </w:p>
        </w:tc>
        <w:tc>
          <w:tcPr/>
          <w:p>
            <w:pPr>
              <w:pStyle w:val="Compact"/>
            </w:pPr>
            <w:r>
              <w:t xml:space="preserve">System identifier</w:t>
            </w:r>
          </w:p>
        </w:tc>
        <w:tc>
          <w:tcPr/>
          <w:p>
            <w:pPr>
              <w:pStyle w:val="Compact"/>
            </w:pPr>
            <w:r>
              <w:t xml:space="preserve">Plan version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  <w:tc>
          <w:tcPr/>
          <w:p>
            <w:pPr>
              <w:pStyle w:val="Compact"/>
            </w:pPr>
            <w:r>
              <w:t xml:space="preserve">Approval 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system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authorizing official or designated representative]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1" w:name="system-name-and-identifier"/>
    <w:p>
      <w:pPr>
        <w:pStyle w:val="Heading2"/>
      </w:pPr>
      <w:r>
        <w:t xml:space="preserve">1. System name and identifier</w:t>
      </w:r>
    </w:p>
    <w:p>
      <w:pPr>
        <w:pStyle w:val="FirstParagraph"/>
      </w:pPr>
      <w:r>
        <w:rPr>
          <w:rStyle w:val="Fill-in"/>
        </w:rPr>
        <w:t xml:space="preserve">[Fill in: unique system name and identifier, and any previous names]</w:t>
      </w:r>
    </w:p>
    <w:bookmarkEnd w:id="11"/>
    <w:bookmarkStart w:id="12" w:name="system-overview"/>
    <w:p>
      <w:pPr>
        <w:pStyle w:val="Heading2"/>
      </w:pPr>
      <w:r>
        <w:t xml:space="preserve">2. System overview</w:t>
      </w:r>
    </w:p>
    <w:p>
      <w:pPr>
        <w:pStyle w:val="FirstParagraph"/>
      </w:pPr>
      <w:r>
        <w:rPr>
          <w:rStyle w:val="Fill-in"/>
        </w:rPr>
        <w:t xml:space="preserve">[Fill in: a short summary of what the system does and how it supports the mission]</w:t>
      </w:r>
      <w:r>
        <w:t xml:space="preserve"> </w:t>
      </w:r>
      <w:r>
        <w:t xml:space="preserve">(PL-2a.3)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Characteristic</w:t>
            </w:r>
          </w:p>
        </w:tc>
        <w:tc>
          <w:tcPr/>
          <w:p>
            <w:pPr>
              <w:pStyle w:val="Compact"/>
            </w:pPr>
            <w:r>
              <w:t xml:space="preserve">This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Common control providers it relies 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data center, the identity provider, the security operations team]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Technology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cloud-based application, operational technology, AI system]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 type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development, test, training or production]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Exposure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public-facing, internal only, isolated]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Criticality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mission-critical or low priority]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organization-owned, contractor-operated]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transaction processing, decision support]</w:t>
            </w:r>
          </w:p>
        </w:tc>
      </w:tr>
    </w:tbl>
    <w:p>
      <w:pPr>
        <w:pStyle w:val="BodyText"/>
      </w:pPr>
      <w:r>
        <w:t xml:space="preserve">Technologies or factors that add security risk:</w:t>
      </w:r>
      <w:r>
        <w:t xml:space="preserve"> </w:t>
      </w:r>
      <w:r>
        <w:rPr>
          <w:rStyle w:val="Fill-in"/>
        </w:rPr>
        <w:t xml:space="preserve">[Fill in: description]</w:t>
      </w:r>
      <w:r>
        <w:t xml:space="preserve">.</w:t>
      </w:r>
    </w:p>
    <w:p>
      <w:pPr>
        <w:pStyle w:val="BodyText"/>
      </w:pPr>
      <w:r>
        <w:t xml:space="preserve">The system is consistent with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’s enterprise architecture as follows:</w:t>
      </w:r>
      <w:r>
        <w:t xml:space="preserve"> </w:t>
      </w:r>
      <w:r>
        <w:rPr>
          <w:rStyle w:val="Fill-in"/>
        </w:rPr>
        <w:t xml:space="preserve">[Fill in: how the system fits the enterprise architecture]</w:t>
      </w:r>
      <w:r>
        <w:t xml:space="preserve"> </w:t>
      </w:r>
      <w:r>
        <w:t xml:space="preserve">(PL-2a.1).</w:t>
      </w:r>
    </w:p>
    <w:bookmarkEnd w:id="12"/>
    <w:bookmarkStart w:id="13" w:name="laws-regulations-and-policies"/>
    <w:p>
      <w:pPr>
        <w:pStyle w:val="Heading2"/>
      </w:pPr>
      <w:r>
        <w:t xml:space="preserve">3. Laws, regulations and policies</w:t>
      </w:r>
    </w:p>
    <w:p>
      <w:pPr>
        <w:pStyle w:val="FirstParagraph"/>
      </w:pPr>
      <w:r>
        <w:t xml:space="preserve">The requirements that apply to this system come from</w:t>
      </w:r>
      <w:r>
        <w:t xml:space="preserve"> </w:t>
      </w:r>
      <w:r>
        <w:rPr>
          <w:rStyle w:val="Fill-in"/>
        </w:rPr>
        <w:t xml:space="preserve">[Fill in: laws, regulations, contracts and organizational policies that apply]</w:t>
      </w:r>
      <w:r>
        <w:t xml:space="preserve">. The security requirements they create are summarized in section 10 (PL-2a.10).</w:t>
      </w:r>
    </w:p>
    <w:bookmarkEnd w:id="13"/>
    <w:bookmarkStart w:id="14" w:name="system-status"/>
    <w:p>
      <w:pPr>
        <w:pStyle w:val="Heading2"/>
      </w:pPr>
      <w:r>
        <w:t xml:space="preserve">4. System status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 approval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  <w:r>
              <w:t xml:space="preserve"> </w:t>
            </w:r>
            <w:r>
              <w:rPr>
                <w:rStyle w:val="Fill-in"/>
              </w:rPr>
              <w:t xml:space="preserve">[Fill in: authorizing official or designated representative]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w:r>
              <w:rPr>
                <w:rStyle w:val="Fill-in"/>
              </w:rPr>
              <w:t xml:space="preserve">[Fill in: date]</w:t>
            </w:r>
            <w:r>
              <w:t xml:space="preserve"> </w:t>
            </w:r>
            <w:r>
              <w:t xml:space="preserve">(PL-2a.15)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Authorization decision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decision, issue date, effective date and termination date]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 status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under development, operational, undergoing a significant modification, or disposal]</w:t>
            </w:r>
          </w:p>
        </w:tc>
      </w:tr>
    </w:tbl>
    <w:bookmarkEnd w:id="14"/>
    <w:bookmarkStart w:id="15" w:name="roles-and-responsible-personnel"/>
    <w:p>
      <w:pPr>
        <w:pStyle w:val="Heading2"/>
      </w:pPr>
      <w:r>
        <w:t xml:space="preserve">5. Roles and responsible personnel</w:t>
      </w:r>
    </w:p>
    <w:p>
      <w:pPr>
        <w:pStyle w:val="FirstParagraph"/>
      </w:pPr>
      <w:r>
        <w:t xml:space="preserve">Use business contact details only (PL-2a.4).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Name and title</w:t>
            </w:r>
          </w:p>
        </w:tc>
        <w:tc>
          <w:tcPr/>
          <w:p>
            <w:pPr>
              <w:pStyle w:val="Compact"/>
            </w:pPr>
            <w:r>
              <w:t xml:space="preserve">Organizational unit</w:t>
            </w:r>
          </w:p>
        </w:tc>
        <w:tc>
          <w:tcPr/>
          <w:p>
            <w:pPr>
              <w:pStyle w:val="Compact"/>
            </w:pPr>
            <w:r>
              <w:t xml:space="preserve">Phone</w:t>
            </w:r>
          </w:p>
        </w:tc>
        <w:tc>
          <w:tcPr/>
          <w:p>
            <w:pPr>
              <w:pStyle w:val="Compact"/>
            </w:pPr>
            <w:r>
              <w:t xml:space="preserve">Email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Authorizing official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 owner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 security officer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contacts, such as vendors and facility staff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names and titles]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phone]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email]</w:t>
            </w:r>
          </w:p>
        </w:tc>
      </w:tr>
    </w:tbl>
    <w:bookmarkEnd w:id="15"/>
    <w:bookmarkStart w:id="19" w:name="X1d14e5a6154a0d8dbb4c05099d725e9f3fde289"/>
    <w:p>
      <w:pPr>
        <w:pStyle w:val="Heading2"/>
      </w:pPr>
      <w:r>
        <w:t xml:space="preserve">6. Information types and security categorization</w:t>
      </w:r>
    </w:p>
    <w:p>
      <w:pPr>
        <w:pStyle w:val="FirstParagraph"/>
      </w:pPr>
      <w:r>
        <w:t xml:space="preserve">The system processes, stores and transmits these information types (PL-2a.5). Rate the impact of a loss of confidentiality, integrity and availability for each as low, moderate or high.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Information type</w:t>
            </w:r>
          </w:p>
        </w:tc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Availability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information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information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</w:tr>
    </w:tbl>
    <w:p>
      <w:pPr>
        <w:pStyle w:val="BodyText"/>
      </w:pPr>
      <w:r>
        <w:t xml:space="preserve">The overall security categorization is</w:t>
      </w:r>
      <w:r>
        <w:t xml:space="preserve"> </w:t>
      </w:r>
      <w:r>
        <w:rPr>
          <w:rStyle w:val="Fill-in"/>
        </w:rPr>
        <w:t xml:space="preserve">[Fill in: low, moderate or high]</w:t>
      </w:r>
      <w:r>
        <w:t xml:space="preserve">, because</w:t>
      </w:r>
      <w:r>
        <w:t xml:space="preserve"> </w:t>
      </w:r>
      <w:r>
        <w:rPr>
          <w:rStyle w:val="Fill-in"/>
        </w:rPr>
        <w:t xml:space="preserve">[Fill in: rationale, including any adjustments to the provisional impact levels]</w:t>
      </w:r>
      <w:r>
        <w:t xml:space="preserve"> </w:t>
      </w:r>
      <w:r>
        <w:t xml:space="preserve">(PL-2a.6, RA-2).</w:t>
      </w:r>
    </w:p>
    <w:bookmarkStart w:id="18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Federal systems identify information types from</w:t>
      </w:r>
      <w:r>
        <w:t xml:space="preserve"> </w:t>
      </w:r>
      <w:hyperlink r:id="rId16">
        <w:r>
          <w:rPr>
            <w:rStyle w:val="Hyperlink"/>
          </w:rPr>
          <w:t xml:space="preserve">NIST SP 800-60 Rev. 1</w:t>
        </w:r>
      </w:hyperlink>
      <w:r>
        <w:t xml:space="preserve"> </w:t>
      </w:r>
      <w:r>
        <w:t xml:space="preserve">(Volume 2 lists the types) and categorize them with</w:t>
      </w:r>
      <w:r>
        <w:t xml:space="preserve"> </w:t>
      </w:r>
      <w:hyperlink r:id="rId17">
        <w:r>
          <w:rPr>
            <w:rStyle w:val="Hyperlink"/>
          </w:rPr>
          <w:t xml:space="preserve">FIPS 199</w:t>
        </w:r>
      </w:hyperlink>
      <w:r>
        <w:t xml:space="preserve">, Standards for Security Categorization of Federal Information and Information Systems, using the highest impact level for each security objective.</w:t>
      </w:r>
    </w:p>
    <w:bookmarkEnd w:id="18"/>
    <w:bookmarkEnd w:id="19"/>
    <w:bookmarkStart w:id="20" w:name="authorization-boundary"/>
    <w:p>
      <w:pPr>
        <w:pStyle w:val="Heading2"/>
      </w:pPr>
      <w:r>
        <w:t xml:space="preserve">7. Authorization boundary</w:t>
      </w:r>
    </w:p>
    <w:p>
      <w:pPr>
        <w:pStyle w:val="FirstParagraph"/>
      </w:pPr>
      <w:r>
        <w:t xml:space="preserve">The authorization boundary includes</w:t>
      </w:r>
      <w:r>
        <w:t xml:space="preserve"> </w:t>
      </w:r>
      <w:r>
        <w:rPr>
          <w:rStyle w:val="Fill-in"/>
        </w:rPr>
        <w:t xml:space="preserve">[Fill in: the components, networks and services the authorizing official authorizes]</w:t>
      </w:r>
      <w:r>
        <w:t xml:space="preserve"> </w:t>
      </w:r>
      <w:r>
        <w:t xml:space="preserve">(PL-2a.2). The operational environment, and the system’s dependencies on and connections to other systems, are</w:t>
      </w:r>
      <w:r>
        <w:t xml:space="preserve"> </w:t>
      </w:r>
      <w:r>
        <w:rPr>
          <w:rStyle w:val="Fill-in"/>
        </w:rPr>
        <w:t xml:space="preserve">[Fill in: description]</w:t>
      </w:r>
      <w:r>
        <w:t xml:space="preserve"> </w:t>
      </w:r>
      <w:r>
        <w:t xml:space="preserve">(PL-2a.9).</w:t>
      </w:r>
    </w:p>
    <w:p>
      <w:pPr>
        <w:pStyle w:val="BodyText"/>
      </w:pPr>
      <w:r>
        <w:t xml:space="preserve">Diagrams:</w:t>
      </w:r>
      <w:r>
        <w:t xml:space="preserve"> </w:t>
      </w:r>
      <w:r>
        <w:rPr>
          <w:rStyle w:val="Fill-in"/>
        </w:rPr>
        <w:t xml:space="preserve">[Fill in: references to the current system, network architecture and data flow diagrams]</w:t>
      </w:r>
      <w:r>
        <w:t xml:space="preserve">.</w:t>
      </w:r>
    </w:p>
    <w:bookmarkEnd w:id="20"/>
    <w:bookmarkStart w:id="21" w:name="information-exchanges"/>
    <w:p>
      <w:pPr>
        <w:pStyle w:val="Heading2"/>
      </w:pPr>
      <w:r>
        <w:t xml:space="preserve">8. Information exchanges</w:t>
      </w:r>
    </w:p>
    <w:p>
      <w:pPr>
        <w:pStyle w:val="FirstParagraph"/>
      </w:pPr>
      <w:r>
        <w:t xml:space="preserve">For each exchange with another system (CA-3):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Other system and owner</w:t>
            </w:r>
          </w:p>
        </w:tc>
        <w:tc>
          <w:tcPr/>
          <w:p>
            <w:pPr>
              <w:pStyle w:val="Compact"/>
            </w:pPr>
            <w:r>
              <w:t xml:space="preserve">Agreement type and dates</w:t>
            </w:r>
          </w:p>
        </w:tc>
        <w:tc>
          <w:tcPr/>
          <w:p>
            <w:pPr>
              <w:pStyle w:val="Compact"/>
            </w:pPr>
            <w:r>
              <w:t xml:space="preserve">Categorization of the other system and of the data</w:t>
            </w:r>
          </w:p>
        </w:tc>
        <w:tc>
          <w:tcPr/>
          <w:p>
            <w:pPr>
              <w:pStyle w:val="Compact"/>
            </w:pPr>
            <w:r>
              <w:t xml:space="preserve">Purpose and data exchanged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Security considerations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system, owner and authorizing official]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interconnection security agreement, start and end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categorizations]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description]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VPN or dedicated transfer application]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findings and mitigations that affect the exchange]</w:t>
            </w:r>
          </w:p>
        </w:tc>
      </w:tr>
    </w:tbl>
    <w:bookmarkEnd w:id="21"/>
    <w:bookmarkStart w:id="22" w:name="system-component-inventory"/>
    <w:p>
      <w:pPr>
        <w:pStyle w:val="Heading2"/>
      </w:pPr>
      <w:r>
        <w:t xml:space="preserve">9. System component inventory</w:t>
      </w:r>
    </w:p>
    <w:p>
      <w:pPr>
        <w:pStyle w:val="FirstParagraph"/>
      </w:pPr>
      <w:r>
        <w:t xml:space="preserve">The authoritative component inventory is</w:t>
      </w:r>
      <w:r>
        <w:t xml:space="preserve"> </w:t>
      </w:r>
      <w:r>
        <w:rPr>
          <w:rStyle w:val="Fill-in"/>
        </w:rPr>
        <w:t xml:space="preserve">[Fill in: location of the inventory, or the tool that holds it]</w:t>
      </w:r>
      <w:r>
        <w:t xml:space="preserve"> </w:t>
      </w:r>
      <w:r>
        <w:t xml:space="preserve">(CM-8, PL-2a.2). It records, for hardware, each component’s function, identifiers, manufacturer and model, firmware and operating system versions, support status and location; and for software, each product’s version, source, license and support status, with a software bill of materials where available.</w:t>
      </w:r>
    </w:p>
    <w:p>
      <w:pPr>
        <w:pStyle w:val="BodyText"/>
      </w:pPr>
      <w:r>
        <w:t xml:space="preserve">Summary:</w:t>
      </w:r>
      <w:r>
        <w:t xml:space="preserve"> </w:t>
      </w:r>
      <w:r>
        <w:rPr>
          <w:rStyle w:val="Fill-in"/>
        </w:rPr>
        <w:t xml:space="preserve">[Fill in: types and counts of components in the boundary]</w:t>
      </w:r>
      <w:r>
        <w:t xml:space="preserve">.</w:t>
      </w:r>
    </w:p>
    <w:bookmarkEnd w:id="22"/>
    <w:bookmarkStart w:id="23" w:name="X41a83202a9fcff035d63a7d8fff0b96a451964e"/>
    <w:p>
      <w:pPr>
        <w:pStyle w:val="Heading2"/>
      </w:pPr>
      <w:r>
        <w:t xml:space="preserve">10. Security requirements and control implementation</w:t>
      </w:r>
    </w:p>
    <w:p>
      <w:pPr>
        <w:pStyle w:val="FirstParagraph"/>
      </w:pPr>
      <w:r>
        <w:t xml:space="preserve">The system uses the</w:t>
      </w:r>
      <w:r>
        <w:t xml:space="preserve"> </w:t>
      </w:r>
      <w:r>
        <w:rPr>
          <w:rStyle w:val="Fill-in"/>
        </w:rPr>
        <w:t xml:space="preserve">[Fill in: Low, Moderate or High]</w:t>
      </w:r>
      <w:r>
        <w:t xml:space="preserve"> </w:t>
      </w:r>
      <w:r>
        <w:t xml:space="preserve">control baseline with</w:t>
      </w:r>
      <w:r>
        <w:t xml:space="preserve"> </w:t>
      </w:r>
      <w:r>
        <w:rPr>
          <w:rStyle w:val="Fill-in"/>
        </w:rPr>
        <w:t xml:space="preserve">[Fill in: overlays, if any]</w:t>
      </w:r>
      <w:r>
        <w:t xml:space="preserve"> </w:t>
      </w:r>
      <w:r>
        <w:t xml:space="preserve">(PL-2a.11). Its security requirements are</w:t>
      </w:r>
      <w:r>
        <w:t xml:space="preserve"> </w:t>
      </w:r>
      <w:r>
        <w:rPr>
          <w:rStyle w:val="Fill-in"/>
        </w:rPr>
        <w:t xml:space="preserve">[Fill in: overview of the requirements]</w:t>
      </w:r>
      <w:r>
        <w:t xml:space="preserve"> </w:t>
      </w:r>
      <w:r>
        <w:t xml:space="preserve">(PL-2a.10).</w:t>
      </w:r>
    </w:p>
    <w:p>
      <w:pPr>
        <w:pStyle w:val="BodyText"/>
      </w:pPr>
      <w:r>
        <w:t xml:space="preserve">Tailoring decisions and their rationale:</w:t>
      </w:r>
      <w:r>
        <w:t xml:space="preserve"> </w:t>
      </w:r>
      <w:r>
        <w:rPr>
          <w:rStyle w:val="Fill-in"/>
        </w:rPr>
        <w:t xml:space="preserve">[Fill in: controls added, removed or changed, and why]</w:t>
      </w:r>
      <w:r>
        <w:t xml:space="preserve"> </w:t>
      </w:r>
      <w:r>
        <w:t xml:space="preserve">(PL-2a.12).</w:t>
      </w:r>
    </w:p>
    <w:p>
      <w:pPr>
        <w:pStyle w:val="BodyText"/>
      </w:pPr>
      <w:r>
        <w:t xml:space="preserve">For each control, the implementation detail records: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</w:t>
            </w:r>
          </w:p>
        </w:tc>
        <w:tc>
          <w:tcPr/>
          <w:p>
            <w:pPr>
              <w:pStyle w:val="Compact"/>
            </w:pPr>
            <w:r>
              <w:t xml:space="preserve">How the control is or will be met, referencing policies, procedures and configurations (PL-2a.12)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</w:pPr>
            <w:r>
              <w:t xml:space="preserve">System-specific, common (inherited from a named provider) or hybrid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 status</w:t>
            </w:r>
          </w:p>
        </w:tc>
        <w:tc>
          <w:tcPr/>
          <w:p>
            <w:pPr>
              <w:pStyle w:val="Compact"/>
            </w:pPr>
            <w:r>
              <w:t xml:space="preserve">Planned, partially implemented or fully implemented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Assessment status</w:t>
            </w:r>
          </w:p>
        </w:tc>
        <w:tc>
          <w:tcPr/>
          <w:p>
            <w:pPr>
              <w:pStyle w:val="Compact"/>
            </w:pPr>
            <w:r>
              <w:t xml:space="preserve">Satisfied or other than satisfied, with the assessment date and report, and the POA&amp;M item for anything other than satisfied (CA-5)</w:t>
            </w:r>
          </w:p>
        </w:tc>
      </w:tr>
    </w:tbl>
    <w:p>
      <w:pPr>
        <w:pStyle w:val="BodyText"/>
      </w:pPr>
      <w:r>
        <w:t xml:space="preserve">Control details:</w:t>
      </w:r>
      <w:r>
        <w:t xml:space="preserve"> </w:t>
      </w:r>
      <w:r>
        <w:rPr>
          <w:rStyle w:val="Fill-in"/>
        </w:rPr>
        <w:t xml:space="preserve">[Fill in: the control-by-control implementation, here or as an attached export]</w:t>
      </w:r>
      <w:r>
        <w:t xml:space="preserve">.</w:t>
      </w:r>
    </w:p>
    <w:p>
      <w:pPr>
        <w:pStyle w:val="BodyText"/>
      </w:pPr>
      <w:r>
        <w:t xml:space="preserve">Specific threats of concern to this system:</w:t>
      </w:r>
      <w:r>
        <w:t xml:space="preserve"> </w:t>
      </w:r>
      <w:r>
        <w:rPr>
          <w:rStyle w:val="Fill-in"/>
        </w:rPr>
        <w:t xml:space="preserve">[Fill in: threats]</w:t>
      </w:r>
      <w:r>
        <w:t xml:space="preserve"> </w:t>
      </w:r>
      <w:r>
        <w:t xml:space="preserve">(PL-2a.7). Risk determinations for security and privacy architecture and design decisions:</w:t>
      </w:r>
      <w:r>
        <w:t xml:space="preserve"> </w:t>
      </w:r>
      <w:r>
        <w:rPr>
          <w:rStyle w:val="Fill-in"/>
        </w:rPr>
        <w:t xml:space="preserve">[Fill in: decisions and the risk accepted]</w:t>
      </w:r>
      <w:r>
        <w:t xml:space="preserve"> </w:t>
      </w:r>
      <w:r>
        <w:t xml:space="preserve">(PL-2a.13).</w:t>
      </w:r>
    </w:p>
    <w:bookmarkEnd w:id="23"/>
    <w:bookmarkStart w:id="24" w:name="privacy"/>
    <w:p>
      <w:pPr>
        <w:pStyle w:val="Heading2"/>
      </w:pPr>
      <w:r>
        <w:t xml:space="preserve">11. Privacy</w:t>
      </w:r>
    </w:p>
    <w:p>
      <w:pPr>
        <w:pStyle w:val="FirstParagraph"/>
      </w:pPr>
      <w:r>
        <w:t xml:space="preserve">For systems that process personally identifiable information, the results of the privacy risk assessment are</w:t>
      </w:r>
      <w:r>
        <w:t xml:space="preserve"> </w:t>
      </w:r>
      <w:r>
        <w:rPr>
          <w:rStyle w:val="Fill-in"/>
        </w:rPr>
        <w:t xml:space="preserve">[Fill in: summary of results, or a reference to the privacy impact assessment]</w:t>
      </w:r>
      <w:r>
        <w:t xml:space="preserve"> </w:t>
      </w:r>
      <w:r>
        <w:t xml:space="preserve">(PL-2a.8).</w:t>
      </w:r>
    </w:p>
    <w:bookmarkEnd w:id="24"/>
    <w:bookmarkStart w:id="27" w:name="digital-identity-acceptance-statement"/>
    <w:p>
      <w:pPr>
        <w:pStyle w:val="Heading2"/>
      </w:pPr>
      <w:r>
        <w:t xml:space="preserve">12. Digital identity acceptance statement</w:t>
      </w:r>
    </w:p>
    <w:p>
      <w:pPr>
        <w:pStyle w:val="FirstParagraph"/>
      </w:pPr>
      <w:r>
        <w:rPr>
          <w:rStyle w:val="Fill-in"/>
        </w:rPr>
        <w:t xml:space="preserve">[Fill in: assessed and implemented assurance levels, and the rationale for any difference, or</w:t>
      </w:r>
      <w:r>
        <w:rPr>
          <w:rStyle w:val="Fill-in"/>
        </w:rPr>
        <w:t xml:space="preserve"> </w:t>
      </w:r>
      <w:r>
        <w:rPr>
          <w:rStyle w:val="Fill-in"/>
        </w:rPr>
        <w:t xml:space="preserve">“not applicable”</w:t>
      </w:r>
      <w:r>
        <w:rPr>
          <w:rStyle w:val="Fill-in"/>
        </w:rPr>
        <w:t xml:space="preserve">]</w:t>
      </w:r>
      <w:r>
        <w:t xml:space="preserve">.</w:t>
      </w:r>
    </w:p>
    <w:bookmarkStart w:id="26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Federal systems include the Digital Identity Acceptance Statement that</w:t>
      </w:r>
      <w:r>
        <w:t xml:space="preserve"> </w:t>
      </w:r>
      <w:hyperlink r:id="rId25">
        <w:r>
          <w:rPr>
            <w:rStyle w:val="Hyperlink"/>
          </w:rPr>
          <w:t xml:space="preserve">NIST SP 800-63-4</w:t>
        </w:r>
      </w:hyperlink>
      <w:r>
        <w:t xml:space="preserve"> </w:t>
      </w:r>
      <w:r>
        <w:t xml:space="preserve">describes: the assessed and implemented assurance levels, the rationale for any difference, how compensating controls are comparable, and the rationale if federated identities are not accepted.</w:t>
      </w:r>
    </w:p>
    <w:bookmarkEnd w:id="26"/>
    <w:bookmarkEnd w:id="27"/>
    <w:bookmarkStart w:id="28" w:name="planning-and-coordination"/>
    <w:p>
      <w:pPr>
        <w:pStyle w:val="Heading2"/>
      </w:pPr>
      <w:r>
        <w:t xml:space="preserve">13. Planning and coordination</w:t>
      </w:r>
    </w:p>
    <w:p>
      <w:pPr>
        <w:pStyle w:val="FirstParagraph"/>
      </w:pPr>
      <w:r>
        <w:t xml:space="preserve">Security- and privacy-related activities affecting the system are planned and coordinated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 named in section 5, the common control providers, and the security and privacy teams]</w:t>
      </w:r>
      <w:r>
        <w:t xml:space="preserve"> </w:t>
      </w:r>
      <w:r>
        <w:t xml:space="preserve">(PL-2a.14).</w:t>
      </w:r>
    </w:p>
    <w:bookmarkEnd w:id="28"/>
    <w:bookmarkStart w:id="29" w:name="referenced-artifacts"/>
    <w:p>
      <w:pPr>
        <w:pStyle w:val="Heading2"/>
      </w:pPr>
      <w:r>
        <w:t xml:space="preserve">14. Referenced artifacts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Artifact</w:t>
            </w:r>
          </w:p>
        </w:tc>
        <w:tc>
          <w:tcPr/>
          <w:p>
            <w:pPr>
              <w:pStyle w:val="Compac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Authorization decision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Contingency plan, with test and training records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Configuration management plan and change records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Incident response plan, with test and training records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Information exchange agreements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Continuous Monitoring Strategy and monitoring results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Plan of action and milestones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assessment reports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Supply chain risk management plan, with supplier assessments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location, or the section of this plan that serves as it]</w:t>
            </w:r>
          </w:p>
        </w:tc>
      </w:tr>
    </w:tbl>
    <w:bookmarkEnd w:id="29"/>
    <w:bookmarkStart w:id="30" w:name="Xbbf220fdfcf1aa4547beb1db2ec88cafdb9c046"/>
    <w:p>
      <w:pPr>
        <w:pStyle w:val="Heading2"/>
      </w:pPr>
      <w:r>
        <w:t xml:space="preserve">15. Plan distribution, review and change records</w:t>
      </w:r>
    </w:p>
    <w:p>
      <w:pPr>
        <w:pStyle w:val="FirstParagraph"/>
      </w:pPr>
      <w:r>
        <w:t xml:space="preserve">Copies of this plan, and changes to it, go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 </w:t>
      </w:r>
      <w:r>
        <w:t xml:space="preserve">(PL-2b). The plan is reviewed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 </w:t>
      </w:r>
      <w:r>
        <w:t xml:space="preserve">(PL-2c), updated for changes to the system or its environment and for problems found during implementation or assessment (PL-2d), and stored in</w:t>
      </w:r>
      <w:r>
        <w:t xml:space="preserve"> </w:t>
      </w:r>
      <w:r>
        <w:rPr>
          <w:rStyle w:val="Fill-in"/>
        </w:rPr>
        <w:t xml:space="preserve">[Fill in: location with restricted access]</w:t>
      </w:r>
      <w:r>
        <w:t xml:space="preserve"> </w:t>
      </w:r>
      <w:r>
        <w:t xml:space="preserve">(PL-2e).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Change or review</w:t>
            </w:r>
          </w:p>
        </w:tc>
        <w:tc>
          <w:tcPr/>
          <w:p>
            <w:pPr>
              <w:pStyle w:val="Compact"/>
            </w:pPr>
            <w:r>
              <w:t xml:space="preserve">Sections affected</w:t>
            </w:r>
          </w:p>
        </w:tc>
        <w:tc>
          <w:tcPr/>
          <w:p>
            <w:pPr>
              <w:pStyle w:val="Compact"/>
            </w:pPr>
            <w:r>
              <w:t xml:space="preserve">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description]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sections]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End w:id="30"/>
    <w:bookmarkEnd w:id="31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System Security Plan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7" Target="https://csrc.nist.gov/pubs/fips/199/final" TargetMode="External" /><Relationship Type="http://schemas.openxmlformats.org/officeDocument/2006/relationships/hyperlink" Id="rId16" Target="https://csrc.nist.gov/pubs/sp/800/60/v1/r1/final" TargetMode="External" /><Relationship Type="http://schemas.openxmlformats.org/officeDocument/2006/relationships/hyperlink" Id="rId9" Target="https://kston83.github.io/nist-guide/templates/plans/system-security-plan/" TargetMode="External" /><Relationship Type="http://schemas.openxmlformats.org/officeDocument/2006/relationships/hyperlink" Id="rId25" Target="https://pages.nist.gov/800-63-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7" Target="https://csrc.nist.gov/pubs/fips/199/final" TargetMode="External" /><Relationship Type="http://schemas.openxmlformats.org/officeDocument/2006/relationships/hyperlink" Id="rId16" Target="https://csrc.nist.gov/pubs/sp/800/60/v1/r1/final" TargetMode="External" /><Relationship Type="http://schemas.openxmlformats.org/officeDocument/2006/relationships/hyperlink" Id="rId9" Target="https://kston83.github.io/nist-guide/templates/plans/system-security-plan/" TargetMode="External" /><Relationship Type="http://schemas.openxmlformats.org/officeDocument/2006/relationships/hyperlink" Id="rId25" Target="https://pages.nist.gov/800-63-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