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1"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66" w:name="policy-statements"/>
    <w:p>
      <w:pPr>
        <w:pStyle w:val="Heading2"/>
      </w:pPr>
      <w:r>
        <w:t xml:space="preserve">Policy statements</w:t>
      </w:r>
    </w:p>
    <w:bookmarkStart w:id="19" w:name="account-management-ac-2"/>
    <w:p>
      <w:pPr>
        <w:pStyle w:val="Heading3"/>
      </w:pPr>
      <w:r>
        <w:t xml:space="preserve">Account management (AC-2)</w:t>
      </w:r>
    </w:p>
    <w:p>
      <w:pPr>
        <w:pStyle w:val="Compact"/>
        <w:numPr>
          <w:ilvl w:val="0"/>
          <w:numId w:val="1004"/>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4"/>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4"/>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4"/>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4"/>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4"/>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4"/>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4"/>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4"/>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4"/>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4"/>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bookmarkEnd w:id="19"/>
    <w:bookmarkStart w:id="20" w:name="Xc528b2bec558cbec1ef9e5bb0e18bd9cb488093"/>
    <w:p>
      <w:pPr>
        <w:pStyle w:val="Heading3"/>
      </w:pPr>
      <w:r>
        <w:t xml:space="preserve">Automated system account management (AC-2(1))</w:t>
      </w:r>
    </w:p>
    <w:p>
      <w:pPr>
        <w:pStyle w:val="Compact"/>
        <w:numPr>
          <w:ilvl w:val="0"/>
          <w:numId w:val="1005"/>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0"/>
    <w:bookmarkStart w:id="21" w:name="X35e803996dd45f1c4e4985e7298fd5a51f5ebe4"/>
    <w:p>
      <w:pPr>
        <w:pStyle w:val="Heading3"/>
      </w:pPr>
      <w:r>
        <w:t xml:space="preserve">Automated temporary and emergency account management (AC-2(2))</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1"/>
    <w:bookmarkStart w:id="22" w:name="disable-accounts-ac-23"/>
    <w:p>
      <w:pPr>
        <w:pStyle w:val="Heading3"/>
      </w:pPr>
      <w:r>
        <w:t xml:space="preserve">Disable accounts (AC-2(3))</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7"/>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2"/>
    <w:bookmarkStart w:id="23" w:name="automated-audit-actions-ac-24"/>
    <w:p>
      <w:pPr>
        <w:pStyle w:val="Heading3"/>
      </w:pPr>
      <w:r>
        <w:t xml:space="preserve">Automated audit actions (AC-2(4))</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3"/>
    <w:bookmarkStart w:id="24" w:name="inactivity-logout-ac-25"/>
    <w:p>
      <w:pPr>
        <w:pStyle w:val="Heading3"/>
      </w:pPr>
      <w:r>
        <w:t xml:space="preserve">Inactivity logout (AC-2(5))</w:t>
      </w:r>
    </w:p>
    <w:p>
      <w:pPr>
        <w:pStyle w:val="Compact"/>
        <w:numPr>
          <w:ilvl w:val="0"/>
          <w:numId w:val="1009"/>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4"/>
    <w:bookmarkStart w:id="25" w:name="usage-conditions-ac-211"/>
    <w:p>
      <w:pPr>
        <w:pStyle w:val="Heading3"/>
      </w:pPr>
      <w:r>
        <w:t xml:space="preserve">Usage conditions (AC-2(11))</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enforces</w:t>
      </w:r>
      <w:r>
        <w:t xml:space="preserve"> </w:t>
      </w:r>
      <w:r>
        <w:rPr>
          <w:rStyle w:val="Fill-in"/>
        </w:rPr>
        <w:t xml:space="preserve">[Fill in: circumstances and/or usage conditions to be enforced for system accounts. Typical: restrictions by time of day, day of week and network location]</w:t>
      </w:r>
      <w:r>
        <w:t xml:space="preserve"> </w:t>
      </w:r>
      <w:r>
        <w:t xml:space="preserve">for</w:t>
      </w:r>
      <w:r>
        <w:t xml:space="preserve"> </w:t>
      </w:r>
      <w:r>
        <w:rPr>
          <w:rStyle w:val="Fill-in"/>
        </w:rPr>
        <w:t xml:space="preserve">[Fill in: system accounts subject to enforcement of circumstances and/or usage conditions. Typical: privileged and emergency accounts]</w:t>
      </w:r>
      <w:r>
        <w:t xml:space="preserve">. (AC-2(11))</w:t>
      </w:r>
    </w:p>
    <w:bookmarkEnd w:id="25"/>
    <w:bookmarkStart w:id="26" w:name="Xbbf781c52a2d05670f32aceab0bd70eb07c546b"/>
    <w:p>
      <w:pPr>
        <w:pStyle w:val="Heading3"/>
      </w:pPr>
      <w:r>
        <w:t xml:space="preserve">Account monitoring for atypical usage (AC-2(12))</w:t>
      </w:r>
    </w:p>
    <w:p>
      <w:pPr>
        <w:pStyle w:val="Compact"/>
        <w:numPr>
          <w:ilvl w:val="0"/>
          <w:numId w:val="1011"/>
        </w:numPr>
      </w:pPr>
      <w:r>
        <w:t xml:space="preserve">The</w:t>
      </w:r>
      <w:r>
        <w:t xml:space="preserve"> </w:t>
      </w:r>
      <w:r>
        <w:rPr>
          <w:rStyle w:val="Fill-in"/>
        </w:rPr>
        <w:t xml:space="preserve">[System owner]</w:t>
      </w:r>
      <w:r>
        <w:t xml:space="preserve"> </w:t>
      </w:r>
      <w:r>
        <w:t xml:space="preserve">shall ensure system accounts are monitored for</w:t>
      </w:r>
      <w:r>
        <w:t xml:space="preserve"> </w:t>
      </w:r>
      <w:r>
        <w:rPr>
          <w:rStyle w:val="Fill-in"/>
        </w:rPr>
        <w:t xml:space="preserve">[Fill in: atypical usage for which to monitor system accounts. Typical: logons at unusual times or from unusual locations, use of dormant accounts, and repeated failed privilege elevation]</w:t>
      </w:r>
      <w:r>
        <w:t xml:space="preserve">. (AC-2(12)(a))</w:t>
      </w:r>
    </w:p>
    <w:p>
      <w:pPr>
        <w:pStyle w:val="Compact"/>
        <w:numPr>
          <w:ilvl w:val="0"/>
          <w:numId w:val="1011"/>
        </w:numPr>
      </w:pPr>
      <w:r>
        <w:t xml:space="preserve">The</w:t>
      </w:r>
      <w:r>
        <w:t xml:space="preserve"> </w:t>
      </w:r>
      <w:r>
        <w:rPr>
          <w:rStyle w:val="Fill-in"/>
        </w:rPr>
        <w:t xml:space="preserve">[System owner]</w:t>
      </w:r>
      <w:r>
        <w:t xml:space="preserve"> </w:t>
      </w:r>
      <w:r>
        <w:t xml:space="preserve">shall ensure atypical usage of system accounts is reported to</w:t>
      </w:r>
      <w:r>
        <w:t xml:space="preserve"> </w:t>
      </w:r>
      <w:r>
        <w:rPr>
          <w:rStyle w:val="Fill-in"/>
        </w:rPr>
        <w:t xml:space="preserve">[Fill in: personnel or roles to report atypical usage. Typical: the security operations team and the system owner]</w:t>
      </w:r>
      <w:r>
        <w:t xml:space="preserve">. (AC-2(12)(b))</w:t>
      </w:r>
    </w:p>
    <w:bookmarkEnd w:id="26"/>
    <w:bookmarkStart w:id="27" w:name="Xe18f2831d548f66523dde9aa99e19ab964370c1"/>
    <w:p>
      <w:pPr>
        <w:pStyle w:val="Heading3"/>
      </w:pPr>
      <w:r>
        <w:t xml:space="preserve">Disable accounts for high-risk individuals (AC-2(13))</w:t>
      </w:r>
    </w:p>
    <w:p>
      <w:pPr>
        <w:pStyle w:val="Compact"/>
        <w:numPr>
          <w:ilvl w:val="0"/>
          <w:numId w:val="1012"/>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27"/>
    <w:bookmarkStart w:id="28" w:name="access-enforcement-ac-3"/>
    <w:p>
      <w:pPr>
        <w:pStyle w:val="Heading3"/>
      </w:pPr>
      <w:r>
        <w:t xml:space="preserve">Access enforcement (AC-3)</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8"/>
    <w:bookmarkStart w:id="29" w:name="information-flow-enforcement-ac-4"/>
    <w:p>
      <w:pPr>
        <w:pStyle w:val="Heading3"/>
      </w:pPr>
      <w:r>
        <w:t xml:space="preserve">Information flow enforcement (AC-4)</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29"/>
    <w:bookmarkStart w:id="30" w:name="X587990dd6226d85ab3e105e465d5b76983a1c21"/>
    <w:p>
      <w:pPr>
        <w:pStyle w:val="Heading3"/>
      </w:pPr>
      <w:r>
        <w:t xml:space="preserve">Flow control of encrypted information (AC-4(4))</w:t>
      </w:r>
    </w:p>
    <w:p>
      <w:pPr>
        <w:pStyle w:val="Compact"/>
        <w:numPr>
          <w:ilvl w:val="0"/>
          <w:numId w:val="1015"/>
        </w:numPr>
      </w:pPr>
      <w:r>
        <w:t xml:space="preserve">The</w:t>
      </w:r>
      <w:r>
        <w:t xml:space="preserve"> </w:t>
      </w:r>
      <w:r>
        <w:rPr>
          <w:rStyle w:val="Fill-in"/>
        </w:rPr>
        <w:t xml:space="preserve">[System owner]</w:t>
      </w:r>
      <w:r>
        <w:t xml:space="preserve"> </w:t>
      </w:r>
      <w:r>
        <w:t xml:space="preserve">shall ensure encrypted information is prevented from bypassing</w:t>
      </w:r>
      <w:r>
        <w:t xml:space="preserve"> </w:t>
      </w:r>
      <w:r>
        <w:rPr>
          <w:rStyle w:val="Fill-in"/>
        </w:rPr>
        <w:t xml:space="preserve">[Fill in: information flow control mechanisms that encrypted information is prevented from bypassing. Typical: the boundary firewalls and data loss prevention service]</w:t>
      </w:r>
      <w:r>
        <w:t xml:space="preserve"> </w:t>
      </w:r>
      <w:r>
        <w:t xml:space="preserve">by</w:t>
      </w:r>
      <w:r>
        <w:t xml:space="preserve"> </w:t>
      </w:r>
      <w:r>
        <w:rPr>
          <w:rStyle w:val="Fill-in"/>
        </w:rPr>
        <w:t xml:space="preserve">[Select one or more: decrypting the information; blocking the flow of the encrypted information; terminating communications sessions attempting to pass encrypted information; [Assignment: organization-defined procedure or method]. Typical: decrypting the information at the boundary for inspection]</w:t>
      </w:r>
      <w:r>
        <w:t xml:space="preserve">. (AC-4(4))</w:t>
      </w:r>
    </w:p>
    <w:bookmarkEnd w:id="30"/>
    <w:bookmarkStart w:id="31" w:name="separation-of-duties-ac-5"/>
    <w:p>
      <w:pPr>
        <w:pStyle w:val="Heading3"/>
      </w:pPr>
      <w:r>
        <w:t xml:space="preserve">Separation of duties (AC-5)</w:t>
      </w:r>
    </w:p>
    <w:p>
      <w:pPr>
        <w:pStyle w:val="Compact"/>
        <w:numPr>
          <w:ilvl w:val="0"/>
          <w:numId w:val="1016"/>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6"/>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1"/>
    <w:bookmarkStart w:id="32" w:name="least-privilege-ac-6"/>
    <w:p>
      <w:pPr>
        <w:pStyle w:val="Heading3"/>
      </w:pPr>
      <w:r>
        <w:t xml:space="preserve">Least privilege (AC-6)</w:t>
      </w:r>
    </w:p>
    <w:p>
      <w:pPr>
        <w:pStyle w:val="Compact"/>
        <w:numPr>
          <w:ilvl w:val="0"/>
          <w:numId w:val="1017"/>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2"/>
    <w:bookmarkStart w:id="33" w:name="X177fe2d749b035774dfc072df668e9dd34bc1e9"/>
    <w:p>
      <w:pPr>
        <w:pStyle w:val="Heading3"/>
      </w:pPr>
      <w:r>
        <w:t xml:space="preserve">Authorize access to security functions (AC-6(1))</w:t>
      </w:r>
    </w:p>
    <w:p>
      <w:pPr>
        <w:pStyle w:val="Compact"/>
        <w:numPr>
          <w:ilvl w:val="0"/>
          <w:numId w:val="1018"/>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8"/>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3"/>
    <w:bookmarkStart w:id="34" w:name="X3a20c3c8012fbd517d803985e5e2c3716cca251"/>
    <w:p>
      <w:pPr>
        <w:pStyle w:val="Heading3"/>
      </w:pPr>
      <w:r>
        <w:t xml:space="preserve">Non-privileged access for nonsecurity functions (AC-6(2))</w:t>
      </w:r>
    </w:p>
    <w:p>
      <w:pPr>
        <w:pStyle w:val="Compact"/>
        <w:numPr>
          <w:ilvl w:val="0"/>
          <w:numId w:val="1019"/>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4"/>
    <w:bookmarkStart w:id="35" w:name="X9893b7f3b4025c5a03d21d02c31804777755fa5"/>
    <w:p>
      <w:pPr>
        <w:pStyle w:val="Heading3"/>
      </w:pPr>
      <w:r>
        <w:t xml:space="preserve">Network access to privileged commands (AC-6(3))</w:t>
      </w:r>
    </w:p>
    <w:p>
      <w:pPr>
        <w:pStyle w:val="Compact"/>
        <w:numPr>
          <w:ilvl w:val="0"/>
          <w:numId w:val="1020"/>
        </w:numPr>
      </w:pPr>
      <w:r>
        <w:t xml:space="preserve">The</w:t>
      </w:r>
      <w:r>
        <w:t xml:space="preserve"> </w:t>
      </w:r>
      <w:r>
        <w:rPr>
          <w:rStyle w:val="Fill-in"/>
        </w:rPr>
        <w:t xml:space="preserve">[System owner]</w:t>
      </w:r>
      <w:r>
        <w:t xml:space="preserve"> </w:t>
      </w:r>
      <w:r>
        <w:t xml:space="preserve">shall authorize network access to</w:t>
      </w:r>
      <w:r>
        <w:t xml:space="preserve"> </w:t>
      </w:r>
      <w:r>
        <w:rPr>
          <w:rStyle w:val="Fill-in"/>
        </w:rPr>
        <w:t xml:space="preserve">[Fill in: privileged commands to which network access is to be authorized only for compelling operational needs. Typical: all privileged commands]</w:t>
      </w:r>
      <w:r>
        <w:t xml:space="preserve"> </w:t>
      </w:r>
      <w:r>
        <w:t xml:space="preserve">only for</w:t>
      </w:r>
      <w:r>
        <w:t xml:space="preserve"> </w:t>
      </w:r>
      <w:r>
        <w:rPr>
          <w:rStyle w:val="Fill-in"/>
        </w:rPr>
        <w:t xml:space="preserve">[Fill in: compelling operational needs necessitating network access to privileged commands. Typical: administration that cannot be performed from a local console or dedicated management network]</w:t>
      </w:r>
      <w:r>
        <w:t xml:space="preserve">. (AC-6(3))</w:t>
      </w:r>
    </w:p>
    <w:p>
      <w:pPr>
        <w:pStyle w:val="Compact"/>
        <w:numPr>
          <w:ilvl w:val="0"/>
          <w:numId w:val="1020"/>
        </w:numPr>
      </w:pPr>
      <w:r>
        <w:t xml:space="preserve">The</w:t>
      </w:r>
      <w:r>
        <w:t xml:space="preserve"> </w:t>
      </w:r>
      <w:r>
        <w:rPr>
          <w:rStyle w:val="Fill-in"/>
        </w:rPr>
        <w:t xml:space="preserve">[System owner]</w:t>
      </w:r>
      <w:r>
        <w:t xml:space="preserve"> </w:t>
      </w:r>
      <w:r>
        <w:t xml:space="preserve">shall document the rationale for such access in the system security plan. (AC-6(3))</w:t>
      </w:r>
    </w:p>
    <w:bookmarkEnd w:id="35"/>
    <w:bookmarkStart w:id="36" w:name="privileged-accounts-ac-65"/>
    <w:p>
      <w:pPr>
        <w:pStyle w:val="Heading3"/>
      </w:pPr>
      <w:r>
        <w:t xml:space="preserve">Privileged accounts (AC-6(5))</w:t>
      </w:r>
    </w:p>
    <w:p>
      <w:pPr>
        <w:pStyle w:val="Compact"/>
        <w:numPr>
          <w:ilvl w:val="0"/>
          <w:numId w:val="1021"/>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6"/>
    <w:bookmarkStart w:id="37" w:name="review-of-user-privileges-ac-67"/>
    <w:p>
      <w:pPr>
        <w:pStyle w:val="Heading3"/>
      </w:pPr>
      <w:r>
        <w:t xml:space="preserve">Review of user privileges (AC-6(7))</w:t>
      </w:r>
    </w:p>
    <w:p>
      <w:pPr>
        <w:pStyle w:val="Compact"/>
        <w:numPr>
          <w:ilvl w:val="0"/>
          <w:numId w:val="1022"/>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22"/>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7"/>
    <w:bookmarkStart w:id="38" w:name="log-use-of-privileged-functions-ac-69"/>
    <w:p>
      <w:pPr>
        <w:pStyle w:val="Heading3"/>
      </w:pPr>
      <w:r>
        <w:t xml:space="preserve">Log use of privileged functions (AC-6(9))</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38"/>
    <w:bookmarkStart w:id="39" w:name="Xda503a605bdb342412ca5ac5986d1e0097f2cf2"/>
    <w:p>
      <w:pPr>
        <w:pStyle w:val="Heading3"/>
      </w:pPr>
      <w:r>
        <w:t xml:space="preserve">Prohibit non-privileged users from executing privileged functions (AC-6(10))</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39"/>
    <w:bookmarkStart w:id="40" w:name="unsuccessful-logon-attempts-ac-7"/>
    <w:p>
      <w:pPr>
        <w:pStyle w:val="Heading3"/>
      </w:pPr>
      <w:r>
        <w:t xml:space="preserve">Unsuccessful logon attempts (AC-7)</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0"/>
    <w:bookmarkStart w:id="43" w:name="system-use-notification-ac-8"/>
    <w:p>
      <w:pPr>
        <w:pStyle w:val="Heading3"/>
      </w:pPr>
      <w:r>
        <w:t xml:space="preserve">System use notification (AC-8)</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6"/>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6"/>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2" w:name="federal-systems"/>
    <w:p>
      <w:pPr>
        <w:pStyle w:val="Heading4"/>
      </w:pPr>
      <w:r>
        <w:t xml:space="preserve">Federal systems</w:t>
      </w:r>
    </w:p>
    <w:p>
      <w:pPr>
        <w:pStyle w:val="FirstParagraph"/>
      </w:pPr>
      <w:r>
        <w:t xml:space="preserve">SP 800-53 Rev. 5 AC-8a requires the notice on federal systems to state two more things (</w:t>
      </w:r>
      <w:hyperlink r:id="rId41">
        <w:r>
          <w:rPr>
            <w:rStyle w:val="Hyperlink"/>
          </w:rPr>
          <w:t xml:space="preserve">AC-8</w:t>
        </w:r>
      </w:hyperlink>
      <w:r>
        <w:t xml:space="preserve">).</w:t>
      </w:r>
    </w:p>
    <w:p>
      <w:pPr>
        <w:pStyle w:val="Compact"/>
        <w:numPr>
          <w:ilvl w:val="0"/>
          <w:numId w:val="1027"/>
        </w:numPr>
      </w:pPr>
      <w:r>
        <w:t xml:space="preserve">The notice shall state that users are accessing a U.S. Government system. (AC-8a.1)</w:t>
      </w:r>
    </w:p>
    <w:p>
      <w:pPr>
        <w:pStyle w:val="Compact"/>
        <w:numPr>
          <w:ilvl w:val="0"/>
          <w:numId w:val="1027"/>
        </w:numPr>
      </w:pPr>
      <w:r>
        <w:t xml:space="preserve">The notice shall state that unauthorized use of the system is subject to criminal and civil penalties. (AC-8a.3)</w:t>
      </w:r>
    </w:p>
    <w:bookmarkEnd w:id="42"/>
    <w:bookmarkEnd w:id="43"/>
    <w:bookmarkStart w:id="44" w:name="concurrent-session-control-ac-10"/>
    <w:p>
      <w:pPr>
        <w:pStyle w:val="Heading3"/>
      </w:pPr>
      <w:r>
        <w:t xml:space="preserve">Concurrent session control (AC-10)</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limits the number of concurrent sessions for</w:t>
      </w:r>
      <w:r>
        <w:t xml:space="preserve"> </w:t>
      </w:r>
      <w:r>
        <w:rPr>
          <w:rStyle w:val="Fill-in"/>
        </w:rPr>
        <w:t xml:space="preserve">[Fill in: accounts and/or account types for which to limit the number of concurrent sessions. Typical: privileged accounts]</w:t>
      </w:r>
      <w:r>
        <w:t xml:space="preserve"> </w:t>
      </w:r>
      <w:r>
        <w:t xml:space="preserve">to</w:t>
      </w:r>
      <w:r>
        <w:t xml:space="preserve"> </w:t>
      </w:r>
      <w:r>
        <w:rPr>
          <w:rStyle w:val="Fill-in"/>
        </w:rPr>
        <w:t xml:space="preserve">[Fill in: the number of concurrent sessions to be allowed for each account and/or account type. Typical: one]</w:t>
      </w:r>
      <w:r>
        <w:t xml:space="preserve">. (AC-10)</w:t>
      </w:r>
    </w:p>
    <w:bookmarkEnd w:id="44"/>
    <w:bookmarkStart w:id="45" w:name="device-lock-ac-11"/>
    <w:p>
      <w:pPr>
        <w:pStyle w:val="Heading3"/>
      </w:pPr>
      <w:r>
        <w:t xml:space="preserve">Device lock (AC-11)</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5"/>
    <w:bookmarkStart w:id="46" w:name="pattern-hiding-displays-ac-111"/>
    <w:p>
      <w:pPr>
        <w:pStyle w:val="Heading3"/>
      </w:pPr>
      <w:r>
        <w:t xml:space="preserve">Pattern-hiding displays (AC-11(1))</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6"/>
    <w:bookmarkStart w:id="47" w:name="session-termination-ac-12"/>
    <w:p>
      <w:pPr>
        <w:pStyle w:val="Heading3"/>
      </w:pPr>
      <w:r>
        <w:t xml:space="preserve">Session termination (AC-12)</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7"/>
    <w:bookmarkStart w:id="48" w:name="Xf121a6090dc4fed50eb726d5cb35d35e0a89f04"/>
    <w:p>
      <w:pPr>
        <w:pStyle w:val="Heading3"/>
      </w:pPr>
      <w:r>
        <w:t xml:space="preserve">Permitted actions without identification or authentication (AC-14)</w:t>
      </w:r>
    </w:p>
    <w:p>
      <w:pPr>
        <w:pStyle w:val="Compact"/>
        <w:numPr>
          <w:ilvl w:val="0"/>
          <w:numId w:val="103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32"/>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8"/>
    <w:bookmarkStart w:id="49" w:name="remote-access-ac-17"/>
    <w:p>
      <w:pPr>
        <w:pStyle w:val="Heading3"/>
      </w:pPr>
      <w:r>
        <w:t xml:space="preserve">Remote access (AC-17)</w:t>
      </w:r>
    </w:p>
    <w:p>
      <w:pPr>
        <w:pStyle w:val="Compact"/>
        <w:numPr>
          <w:ilvl w:val="0"/>
          <w:numId w:val="1033"/>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49"/>
    <w:bookmarkStart w:id="50" w:name="Xfcae350b41e09ed868197c4a4a85f57bad51f90"/>
    <w:p>
      <w:pPr>
        <w:pStyle w:val="Heading3"/>
      </w:pPr>
      <w:r>
        <w:t xml:space="preserve">Remote access monitoring and control (AC-17(1))</w:t>
      </w:r>
    </w:p>
    <w:p>
      <w:pPr>
        <w:pStyle w:val="Compact"/>
        <w:numPr>
          <w:ilvl w:val="0"/>
          <w:numId w:val="1034"/>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0"/>
    <w:bookmarkStart w:id="51" w:name="Xde0e91d84a3785bf8bc4ef68d38ad15f62a333e"/>
    <w:p>
      <w:pPr>
        <w:pStyle w:val="Heading3"/>
      </w:pPr>
      <w:r>
        <w:t xml:space="preserve">Protection of confidentiality and integrity using encryption (AC-17(2))</w:t>
      </w:r>
    </w:p>
    <w:p>
      <w:pPr>
        <w:pStyle w:val="Compact"/>
        <w:numPr>
          <w:ilvl w:val="0"/>
          <w:numId w:val="1035"/>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1"/>
    <w:bookmarkStart w:id="52" w:name="managed-access-control-points-ac-173"/>
    <w:p>
      <w:pPr>
        <w:pStyle w:val="Heading3"/>
      </w:pPr>
      <w:r>
        <w:t xml:space="preserve">Managed access control points (AC-17(3))</w:t>
      </w:r>
    </w:p>
    <w:p>
      <w:pPr>
        <w:pStyle w:val="Compact"/>
        <w:numPr>
          <w:ilvl w:val="0"/>
          <w:numId w:val="1036"/>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2"/>
    <w:bookmarkStart w:id="53" w:name="X7e6f5aa6fd520aa3aaef8fb43bfbc5ef6e37200"/>
    <w:p>
      <w:pPr>
        <w:pStyle w:val="Heading3"/>
      </w:pPr>
      <w:r>
        <w:t xml:space="preserve">Remote privileged commands and access (AC-17(4))</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7"/>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53"/>
    <w:bookmarkStart w:id="54" w:name="wireless-access-ac-18"/>
    <w:p>
      <w:pPr>
        <w:pStyle w:val="Heading3"/>
      </w:pPr>
      <w:r>
        <w:t xml:space="preserve">Wireless access (AC-18)</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54"/>
    <w:bookmarkStart w:id="55" w:name="X8551b80257ae40304e7f664f2ae76b3d6085cb1"/>
    <w:p>
      <w:pPr>
        <w:pStyle w:val="Heading3"/>
      </w:pPr>
      <w:r>
        <w:t xml:space="preserve">Wireless authentication and encryption (AC-18(1))</w:t>
      </w:r>
    </w:p>
    <w:p>
      <w:pPr>
        <w:pStyle w:val="Compact"/>
        <w:numPr>
          <w:ilvl w:val="0"/>
          <w:numId w:val="1039"/>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5"/>
    <w:bookmarkStart w:id="56" w:name="disable-wireless-networking-ac-183"/>
    <w:p>
      <w:pPr>
        <w:pStyle w:val="Heading3"/>
      </w:pPr>
      <w:r>
        <w:t xml:space="preserve">Disable wireless networking (AC-18(3))</w:t>
      </w:r>
    </w:p>
    <w:p>
      <w:pPr>
        <w:pStyle w:val="Compact"/>
        <w:numPr>
          <w:ilvl w:val="0"/>
          <w:numId w:val="1040"/>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6"/>
    <w:bookmarkStart w:id="57" w:name="restrict-configurations-by-users-ac-184"/>
    <w:p>
      <w:pPr>
        <w:pStyle w:val="Heading3"/>
      </w:pPr>
      <w:r>
        <w:t xml:space="preserve">Restrict configurations by users (AC-18(4))</w:t>
      </w:r>
    </w:p>
    <w:p>
      <w:pPr>
        <w:pStyle w:val="Compact"/>
        <w:numPr>
          <w:ilvl w:val="0"/>
          <w:numId w:val="1041"/>
        </w:numPr>
      </w:pPr>
      <w:r>
        <w:t xml:space="preserve">The</w:t>
      </w:r>
      <w:r>
        <w:t xml:space="preserve"> </w:t>
      </w:r>
      <w:r>
        <w:rPr>
          <w:rStyle w:val="Fill-in"/>
        </w:rPr>
        <w:t xml:space="preserve">[System owner]</w:t>
      </w:r>
      <w:r>
        <w:t xml:space="preserve"> </w:t>
      </w:r>
      <w:r>
        <w:t xml:space="preserve">shall identify and explicitly authorize the users allowed to independently configure wireless networking capabilities. (AC-18(4))</w:t>
      </w:r>
    </w:p>
    <w:bookmarkEnd w:id="57"/>
    <w:bookmarkStart w:id="58" w:name="X93910950adc4ddd00e1c2981c406c722efd2caa"/>
    <w:p>
      <w:pPr>
        <w:pStyle w:val="Heading3"/>
      </w:pPr>
      <w:r>
        <w:t xml:space="preserve">Antennas and transmission power levels (AC-18(5))</w:t>
      </w:r>
    </w:p>
    <w:p>
      <w:pPr>
        <w:pStyle w:val="Compact"/>
        <w:numPr>
          <w:ilvl w:val="0"/>
          <w:numId w:val="1042"/>
        </w:numPr>
      </w:pPr>
      <w:r>
        <w:t xml:space="preserve">The</w:t>
      </w:r>
      <w:r>
        <w:t xml:space="preserve"> </w:t>
      </w:r>
      <w:r>
        <w:rPr>
          <w:rStyle w:val="Fill-in"/>
        </w:rPr>
        <w:t xml:space="preserve">[System owner]</w:t>
      </w:r>
      <w:r>
        <w:t xml:space="preserve"> </w:t>
      </w:r>
      <w:r>
        <w:t xml:space="preserve">shall select radio antennas and calibrate transmission power levels to reduce the probability that signals from wireless access points can be received outside organization-controlled boundaries. (AC-18(5))</w:t>
      </w:r>
    </w:p>
    <w:bookmarkEnd w:id="58"/>
    <w:bookmarkStart w:id="59" w:name="access-control-for-mobile-devices-ac-19"/>
    <w:p>
      <w:pPr>
        <w:pStyle w:val="Heading3"/>
      </w:pPr>
      <w:r>
        <w:t xml:space="preserve">Access control for mobile devices (AC-19)</w:t>
      </w:r>
    </w:p>
    <w:p>
      <w:pPr>
        <w:pStyle w:val="Compact"/>
        <w:numPr>
          <w:ilvl w:val="0"/>
          <w:numId w:val="1043"/>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43"/>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59"/>
    <w:bookmarkStart w:id="60" w:name="X5ad2dbd70a38ca034168fcb15a1c94f93339806"/>
    <w:p>
      <w:pPr>
        <w:pStyle w:val="Heading3"/>
      </w:pPr>
      <w:r>
        <w:t xml:space="preserve">Full device or container-based encryption (AC-19(5))</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60"/>
    <w:bookmarkStart w:id="61" w:name="use-of-external-systems-ac-20"/>
    <w:p>
      <w:pPr>
        <w:pStyle w:val="Heading3"/>
      </w:pPr>
      <w:r>
        <w:t xml:space="preserve">Use of external systems (AC-20)</w:t>
      </w:r>
    </w:p>
    <w:p>
      <w:pPr>
        <w:pStyle w:val="Compact"/>
        <w:numPr>
          <w:ilvl w:val="0"/>
          <w:numId w:val="1045"/>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45"/>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1"/>
    <w:bookmarkStart w:id="62" w:name="limits-on-authorized-use-ac-201"/>
    <w:p>
      <w:pPr>
        <w:pStyle w:val="Heading3"/>
      </w:pPr>
      <w:r>
        <w:t xml:space="preserve">Limits on authorized use (AC-20(1))</w:t>
      </w:r>
    </w:p>
    <w:p>
      <w:pPr>
        <w:pStyle w:val="Compact"/>
        <w:numPr>
          <w:ilvl w:val="0"/>
          <w:numId w:val="1046"/>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2"/>
    <w:bookmarkStart w:id="63" w:name="X829de09aaf987221c1adc04d372ad6f2fa8afb0"/>
    <w:p>
      <w:pPr>
        <w:pStyle w:val="Heading3"/>
      </w:pPr>
      <w:r>
        <w:t xml:space="preserve">Portable storage devices: restricted use (AC-20(2))</w:t>
      </w:r>
    </w:p>
    <w:p>
      <w:pPr>
        <w:pStyle w:val="Compact"/>
        <w:numPr>
          <w:ilvl w:val="0"/>
          <w:numId w:val="1047"/>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63"/>
    <w:bookmarkStart w:id="64" w:name="information-sharing-ac-21"/>
    <w:p>
      <w:pPr>
        <w:pStyle w:val="Heading3"/>
      </w:pPr>
      <w:r>
        <w:t xml:space="preserve">Information sharing (AC-21)</w:t>
      </w:r>
    </w:p>
    <w:p>
      <w:pPr>
        <w:pStyle w:val="Compact"/>
        <w:numPr>
          <w:ilvl w:val="0"/>
          <w:numId w:val="1048"/>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64"/>
    <w:bookmarkStart w:id="65" w:name="publicly-accessible-content-ac-22"/>
    <w:p>
      <w:pPr>
        <w:pStyle w:val="Heading3"/>
      </w:pPr>
      <w:r>
        <w:t xml:space="preserve">Publicly accessible content (AC-22)</w:t>
      </w:r>
    </w:p>
    <w:p>
      <w:pPr>
        <w:pStyle w:val="Compact"/>
        <w:numPr>
          <w:ilvl w:val="0"/>
          <w:numId w:val="1049"/>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9"/>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9"/>
        </w:numPr>
      </w:pPr>
      <w:r>
        <w:t xml:space="preserve">The designated individuals shall review proposed content for nonpublic information before posting it on the publicly accessible system. (AC-22c)</w:t>
      </w:r>
    </w:p>
    <w:p>
      <w:pPr>
        <w:pStyle w:val="Compact"/>
        <w:numPr>
          <w:ilvl w:val="0"/>
          <w:numId w:val="1049"/>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9"/>
        </w:numPr>
      </w:pPr>
      <w:r>
        <w:t xml:space="preserve">The designated individuals shall remove nonpublic information when a review discovers it. (AC-22d)</w:t>
      </w:r>
    </w:p>
    <w:bookmarkEnd w:id="65"/>
    <w:bookmarkEnd w:id="66"/>
    <w:bookmarkStart w:id="70" w:name="review-and-update"/>
    <w:p>
      <w:pPr>
        <w:pStyle w:val="Heading2"/>
      </w:pPr>
      <w:r>
        <w:t xml:space="preserve">Review and update</w:t>
      </w:r>
    </w:p>
    <w:p>
      <w:pPr>
        <w:pStyle w:val="Compact"/>
        <w:numPr>
          <w:ilvl w:val="0"/>
          <w:numId w:val="1050"/>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50"/>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69"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7">
        <w:r>
          <w:rPr>
            <w:rStyle w:val="Hyperlink"/>
          </w:rPr>
          <w:t xml:space="preserve">44 U.S.C. § 3554</w:t>
        </w:r>
      </w:hyperlink>
      <w:r>
        <w:t xml:space="preserve">, Federal agency responsibilities) and</w:t>
      </w:r>
      <w:r>
        <w:t xml:space="preserve"> </w:t>
      </w:r>
      <w:hyperlink r:id="rId68">
        <w:r>
          <w:rPr>
            <w:rStyle w:val="Hyperlink"/>
          </w:rPr>
          <w:t xml:space="preserve">OMB Circular A-130</w:t>
        </w:r>
      </w:hyperlink>
      <w:r>
        <w:t xml:space="preserve">, Appendix I, Responsibilities for Protecting and Managing Federal Information Resources.</w:t>
      </w:r>
    </w:p>
    <w:p>
      <w:pPr>
        <w:pStyle w:val="Compact"/>
        <w:numPr>
          <w:ilvl w:val="0"/>
          <w:numId w:val="1051"/>
        </w:numPr>
      </w:pPr>
      <w:r>
        <w:t xml:space="preserve">Where the agency’s organization-wide policy sets a value for a parameter in this policy, each system shall use that value or a stricter one. (AC-1a.1(b))</w:t>
      </w:r>
    </w:p>
    <w:bookmarkEnd w:id="69"/>
    <w:bookmarkEnd w:id="70"/>
    <w:bookmarkEnd w:id="7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1" Target="https://kston83.github.io/nist-guide/controls/ac/ac-8/" TargetMode="External" /><Relationship Type="http://schemas.openxmlformats.org/officeDocument/2006/relationships/hyperlink" Id="rId9" Target="https://kston83.github.io/nist-guide/templates/policies/ac/" TargetMode="External" /><Relationship Type="http://schemas.openxmlformats.org/officeDocument/2006/relationships/hyperlink" Id="rId67" Target="https://uscode.house.gov/view.xhtml?req=granuleid:USC-prelim-title44-section3554&amp;num=0&amp;edition=prelim" TargetMode="External" /><Relationship Type="http://schemas.openxmlformats.org/officeDocument/2006/relationships/hyperlink" Id="rId6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1" Target="https://kston83.github.io/nist-guide/controls/ac/ac-8/" TargetMode="External" /><Relationship Type="http://schemas.openxmlformats.org/officeDocument/2006/relationships/hyperlink" Id="rId9" Target="https://kston83.github.io/nist-guide/templates/policies/ac/" TargetMode="External" /><Relationship Type="http://schemas.openxmlformats.org/officeDocument/2006/relationships/hyperlink" Id="rId67" Target="https://uscode.house.gov/view.xhtml?req=granuleid:USC-prelim-title44-section3554&amp;num=0&amp;edition=prelim" TargetMode="External" /><Relationship Type="http://schemas.openxmlformats.org/officeDocument/2006/relationships/hyperlink" Id="rId6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