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access-control-policy"/>
    <w:p>
      <w:pPr>
        <w:pStyle w:val="Heading1"/>
      </w:pPr>
      <w:r>
        <w:t xml:space="preserve">Access Control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https://kston83.github.io/nist-guide/templates/policies/ac/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Access Control, and who is accountable for meeting those requirements. (AC-1a.1(a))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(AC-1a.1(a))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(AC-1a.1(a))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access control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(AC-1b)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(AC-1a.1(a))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(AC-1a.1(a))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(AC-1a.1(a))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(AC-1a.1(a))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(AC-1a.1(b))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(AC-1a.1(a))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(AC-1a.1(a))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(AC-1a.1(a))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access control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(AC-1a.2)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access control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access control policy is to be disseminated. Typical: everyone within its scope, through the policy library]</w:t>
      </w:r>
      <w:r>
        <w:t xml:space="preserve">. (AC-1a)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access control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access control procedures are to be disseminated. Typical: the people who carry them out, and the system owners]</w:t>
      </w:r>
      <w:r>
        <w:t xml:space="preserve">. (AC-1a)</w:t>
      </w:r>
    </w:p>
    <w:bookmarkEnd w:id="18"/>
    <w:bookmarkStart w:id="31" w:name="policy-statements"/>
    <w:p>
      <w:pPr>
        <w:pStyle w:val="Heading2"/>
      </w:pPr>
      <w:r>
        <w:t xml:space="preserve">Policy statements</w:t>
      </w:r>
    </w:p>
    <w:bookmarkStart w:id="19" w:name="account-management-ac-2"/>
    <w:p>
      <w:pPr>
        <w:pStyle w:val="Heading3"/>
      </w:pPr>
      <w:r>
        <w:t xml:space="preserve">Account management (AC-2)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define and document, for each system, the account types allowed and the account types prohibited. (AC-2a)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assign one or more account managers for each system. (AC-2b)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</w:t>
      </w:r>
      <w:r>
        <w:t xml:space="preserve"> </w:t>
      </w:r>
      <w:r>
        <w:rPr>
          <w:rStyle w:val="Fill-in"/>
        </w:rPr>
        <w:t xml:space="preserve">[Fill in: prerequisites and criteria for group and role membership. Typical: a completed access request, a signed access agreement and completed security awareness training]</w:t>
      </w:r>
      <w:r>
        <w:t xml:space="preserve"> </w:t>
      </w:r>
      <w:r>
        <w:t xml:space="preserve">before granting group or role membership. (AC-2c)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record, for each account, the authorized user, group and role membership, access authorizations and</w:t>
      </w:r>
      <w:r>
        <w:t xml:space="preserve"> </w:t>
      </w:r>
      <w:r>
        <w:rPr>
          <w:rStyle w:val="Fill-in"/>
        </w:rPr>
        <w:t xml:space="preserve">[Fill in: attributes (as required) for each account. Typical: an expiration date for temporary accounts, and time-of-day or location restrictions where the system supports them]</w:t>
      </w:r>
      <w:r>
        <w:t xml:space="preserve">. (AC-2d)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create an account only after approval by</w:t>
      </w:r>
      <w:r>
        <w:t xml:space="preserve"> </w:t>
      </w:r>
      <w:r>
        <w:rPr>
          <w:rStyle w:val="Fill-in"/>
        </w:rPr>
        <w:t xml:space="preserve">[Fill in: personnel or roles required to approve requests to create accounts. Typical: the user’s supervisor, plus the system owner or data owner for privileged roles]</w:t>
      </w:r>
      <w:r>
        <w:t xml:space="preserve">. (AC-2e)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create, enable, modify, disable and remove accounts in accordance with this policy and the account management procedure. (AC-2f)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monitor the use of accounts for activity that does not match the account’s type or authorization. (AC-2g)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[Supervisor]</w:t>
      </w:r>
      <w:r>
        <w:t xml:space="preserve"> </w:t>
      </w:r>
      <w:r>
        <w:t xml:space="preserve">shall notify the account manager and</w:t>
      </w:r>
      <w:r>
        <w:t xml:space="preserve"> </w:t>
      </w:r>
      <w:r>
        <w:rPr>
          <w:rStyle w:val="Fill-in"/>
        </w:rPr>
        <w:t xml:space="preserve">[Fill in: personnel or roles to be notified. Typical: the system owner and the system security officer]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within which to notify account managers when accounts are no longer required. Typical: 5 business days]</w:t>
      </w:r>
      <w:r>
        <w:t xml:space="preserve"> </w:t>
      </w:r>
      <w:r>
        <w:t xml:space="preserve">when a user’s account is no longer required. (AC-2h.1)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[Human resources office]</w:t>
      </w:r>
      <w:r>
        <w:t xml:space="preserve"> </w:t>
      </w:r>
      <w:r>
        <w:t xml:space="preserve">shall notify the account manager and</w:t>
      </w:r>
      <w:r>
        <w:t xml:space="preserve"> </w:t>
      </w:r>
      <w:r>
        <w:rPr>
          <w:rStyle w:val="Fill-in"/>
        </w:rPr>
        <w:t xml:space="preserve">[Fill in: personnel or roles to be notified. Typical: the system owner and the system security officer]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within which to notify account managers when users are terminated or transferred. Typical: 24 hours, or the same day for privileged users]</w:t>
      </w:r>
      <w:r>
        <w:t xml:space="preserve"> </w:t>
      </w:r>
      <w:r>
        <w:t xml:space="preserve">when a user is terminated or transferred. (AC-2h.2)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[Supervisor]</w:t>
      </w:r>
      <w:r>
        <w:t xml:space="preserve"> </w:t>
      </w:r>
      <w:r>
        <w:t xml:space="preserve">shall notify the account manager and</w:t>
      </w:r>
      <w:r>
        <w:t xml:space="preserve"> </w:t>
      </w:r>
      <w:r>
        <w:rPr>
          <w:rStyle w:val="Fill-in"/>
        </w:rPr>
        <w:t xml:space="preserve">[Fill in: personnel or roles to be notified. Typical: the system owner and the system security officer]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within which to notify account managers when system usage or the need to know changes for an individual. Typical: 5 business days]</w:t>
      </w:r>
      <w:r>
        <w:t xml:space="preserve"> </w:t>
      </w:r>
      <w:r>
        <w:t xml:space="preserve">when a user’s system usage or need to know changes. (AC-2h.3)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authorize access only on the basis of a valid access authorization, the intended system usage and</w:t>
      </w:r>
      <w:r>
        <w:t xml:space="preserve"> </w:t>
      </w:r>
      <w:r>
        <w:rPr>
          <w:rStyle w:val="Fill-in"/>
        </w:rPr>
        <w:t xml:space="preserve">[Fill in: attributes needed to authorize system access (as required). Typical: time-of-day, day-of-week or network location restrictions, where needed]</w:t>
      </w:r>
      <w:r>
        <w:t xml:space="preserve">. (AC-2i)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all accounts on the system for compliance with this policy</w:t>
      </w:r>
      <w:r>
        <w:t xml:space="preserve"> </w:t>
      </w:r>
      <w:r>
        <w:rPr>
          <w:rStyle w:val="Fill-in"/>
        </w:rPr>
        <w:t xml:space="preserve">[Fill in: the frequency of account review. Typical: quarterly for privileged accounts and at least annually for all other accounts]</w:t>
      </w:r>
      <w:r>
        <w:t xml:space="preserve">. (AC-2j)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disable or remove each account the review finds is no longer authorized. (AC-2j)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a shared or group account when an individual is removed from the group. (AC-2k)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account management processes are aligned with personnel termination and transfer processes. (AC-2l)</w:t>
      </w:r>
    </w:p>
    <w:bookmarkEnd w:id="19"/>
    <w:bookmarkStart w:id="20" w:name="access-enforcement-ac-3"/>
    <w:p>
      <w:pPr>
        <w:pStyle w:val="Heading3"/>
      </w:pPr>
      <w:r>
        <w:t xml:space="preserve">Access enforcement (AC-3)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approved authorizations for logical access to information and system resources in accordance with this policy. (AC-3)</w:t>
      </w:r>
    </w:p>
    <w:bookmarkEnd w:id="20"/>
    <w:bookmarkStart w:id="21" w:name="unsuccessful-logon-attempts-ac-7"/>
    <w:p>
      <w:pPr>
        <w:pStyle w:val="Heading3"/>
      </w:pPr>
      <w:r>
        <w:t xml:space="preserve">Unsuccessful logon attempts (AC-7)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a limit of</w:t>
      </w:r>
      <w:r>
        <w:t xml:space="preserve"> </w:t>
      </w:r>
      <w:r>
        <w:rPr>
          <w:rStyle w:val="Fill-in"/>
        </w:rPr>
        <w:t xml:space="preserve">[Fill in: the number of consecutive invalid logon attempts by a user allowed during a time period. Typical: 3]</w:t>
      </w:r>
      <w:r>
        <w:t xml:space="preserve"> </w:t>
      </w:r>
      <w:r>
        <w:t xml:space="preserve">consecutive invalid logon attempts by a user during</w:t>
      </w:r>
      <w:r>
        <w:t xml:space="preserve"> </w:t>
      </w:r>
      <w:r>
        <w:rPr>
          <w:rStyle w:val="Fill-in"/>
        </w:rPr>
        <w:t xml:space="preserve">[Fill in: the time period to which the number of consecutive invalid logon attempts by a user is limited. Typical: 15 minutes]</w:t>
      </w:r>
      <w:r>
        <w:t xml:space="preserve">. (AC-7a)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automatically takes the following action when the limit is exceeded:</w:t>
      </w:r>
      <w:r>
        <w:t xml:space="preserve"> </w:t>
      </w:r>
      <w:r>
        <w:rPr>
          <w:rStyle w:val="Fill-in"/>
        </w:rPr>
        <w:t xml:space="preserve">[Select one or more: lock the account or node for [Assignment: organization-defined time period]; lock the account or node until released by an administrator; delay next logon prompt per [Assignment: organization-defined delay algorithm]; notify system administrator; take other [Assignment: organization-defined action]. Typical: lock the account or node for 30 minutes, or until released by an administrator for privileged accounts]</w:t>
      </w:r>
      <w:r>
        <w:t xml:space="preserve">. (AC-7b)</w:t>
      </w:r>
    </w:p>
    <w:bookmarkEnd w:id="21"/>
    <w:bookmarkStart w:id="24" w:name="system-use-notification-ac-8"/>
    <w:p>
      <w:pPr>
        <w:pStyle w:val="Heading3"/>
      </w:pPr>
      <w:r>
        <w:t xml:space="preserve">System use notification (AC-8)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displays</w:t>
      </w:r>
      <w:r>
        <w:t xml:space="preserve"> </w:t>
      </w:r>
      <w:r>
        <w:rPr>
          <w:rStyle w:val="Fill-in"/>
        </w:rPr>
        <w:t xml:space="preserve">[Fill in: system use notification message or banner to be displayed by the system to users before granting access to the system. Typical: the organization’s approved logon banner]</w:t>
      </w:r>
      <w:r>
        <w:t xml:space="preserve"> </w:t>
      </w:r>
      <w:r>
        <w:t xml:space="preserve">to users before granting access. (AC-8a)</w:t>
      </w:r>
    </w:p>
    <w:p>
      <w:pPr>
        <w:pStyle w:val="Compact"/>
        <w:numPr>
          <w:ilvl w:val="0"/>
          <w:numId w:val="1007"/>
        </w:numPr>
      </w:pPr>
      <w:r>
        <w:t xml:space="preserve">The notice shall state that system usage may be monitored, recorded and subject to audit; that unauthorized use of the system is prohibited; and that use of the system indicates consent to monitoring and recording. (AC-8a)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notice remains on the screen until users acknowledge the usage conditions and take explicit action to log on to or further access the system. (AC-8b)</w:t>
      </w:r>
    </w:p>
    <w:p>
      <w:pPr>
        <w:pStyle w:val="Compact"/>
        <w:numPr>
          <w:ilvl w:val="0"/>
          <w:numId w:val="1007"/>
        </w:numPr>
      </w:pPr>
      <w:r>
        <w:t xml:space="preserve">For publicly accessible systems,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displays system use information</w:t>
      </w:r>
      <w:r>
        <w:t xml:space="preserve"> </w:t>
      </w:r>
      <w:r>
        <w:rPr>
          <w:rStyle w:val="Fill-in"/>
        </w:rPr>
        <w:t xml:space="preserve">[Fill in: conditions for system use to be displayed by the system before granting further access. Typical: on the landing page, before users submit any information]</w:t>
      </w:r>
      <w:r>
        <w:t xml:space="preserve">, before granting further access. (AC-8c.1)</w:t>
      </w:r>
    </w:p>
    <w:p>
      <w:pPr>
        <w:pStyle w:val="Compact"/>
        <w:numPr>
          <w:ilvl w:val="0"/>
          <w:numId w:val="1007"/>
        </w:numPr>
      </w:pPr>
      <w:r>
        <w:t xml:space="preserve">For publicly accessible systems,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any references to monitoring, recording or auditing are consistent with the privacy accommodations for such systems. (AC-8c.2)</w:t>
      </w:r>
    </w:p>
    <w:p>
      <w:pPr>
        <w:pStyle w:val="Compact"/>
        <w:numPr>
          <w:ilvl w:val="0"/>
          <w:numId w:val="1007"/>
        </w:numPr>
      </w:pPr>
      <w:r>
        <w:t xml:space="preserve">For publicly accessible systems,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notice describes the authorized uses of the system. (AC-8c.3)</w:t>
      </w:r>
    </w:p>
    <w:bookmarkStart w:id="23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SP 800-53 Rev. 5 AC-8a requires the notice on federal systems to state two more things (</w:t>
      </w:r>
      <w:hyperlink r:id="rId22">
        <w:r>
          <w:rPr>
            <w:rStyle w:val="Hyperlink"/>
          </w:rPr>
          <w:t xml:space="preserve">AC-8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The notice shall state that users are accessing a U.S. Government system. (AC-8a.1)</w:t>
      </w:r>
    </w:p>
    <w:p>
      <w:pPr>
        <w:pStyle w:val="Compact"/>
        <w:numPr>
          <w:ilvl w:val="0"/>
          <w:numId w:val="1008"/>
        </w:numPr>
      </w:pPr>
      <w:r>
        <w:t xml:space="preserve">The notice shall state that unauthorized use of the system is subject to criminal and civil penalties. (AC-8a.3)</w:t>
      </w:r>
    </w:p>
    <w:bookmarkEnd w:id="23"/>
    <w:bookmarkEnd w:id="24"/>
    <w:bookmarkStart w:id="25" w:name="Xf121a6090dc4fed50eb726d5cb35d35e0a89f04"/>
    <w:p>
      <w:pPr>
        <w:pStyle w:val="Heading3"/>
      </w:pPr>
      <w:r>
        <w:t xml:space="preserve">Permitted actions without identification or authentication (AC-14)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identify</w:t>
      </w:r>
      <w:r>
        <w:t xml:space="preserve"> </w:t>
      </w:r>
      <w:r>
        <w:rPr>
          <w:rStyle w:val="Fill-in"/>
        </w:rPr>
        <w:t xml:space="preserve">[Fill in: user actions that can be performed on the system without identification or authentication. Typical: viewing public web pages and the logon page]</w:t>
      </w:r>
      <w:r>
        <w:t xml:space="preserve"> </w:t>
      </w:r>
      <w:r>
        <w:t xml:space="preserve">as the only user actions that can be performed on the system without identification or authentication. (AC-14a)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those actions, with the supporting rationale, in the system security plan. (AC-14b)</w:t>
      </w:r>
    </w:p>
    <w:bookmarkEnd w:id="25"/>
    <w:bookmarkStart w:id="26" w:name="remote-access-ac-17"/>
    <w:p>
      <w:pPr>
        <w:pStyle w:val="Heading3"/>
      </w:pPr>
      <w:r>
        <w:t xml:space="preserve">Remote access (AC-17)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and document usage restrictions, configuration and connection requirements, and implementation guidance for each type of remote access allowed. (AC-17a)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authorize each type of remote access to the system before allowing such connections. (AC-17b)</w:t>
      </w:r>
    </w:p>
    <w:bookmarkEnd w:id="26"/>
    <w:bookmarkStart w:id="27" w:name="wireless-access-ac-18"/>
    <w:p>
      <w:pPr>
        <w:pStyle w:val="Heading3"/>
      </w:pPr>
      <w:r>
        <w:t xml:space="preserve">Wireless access (AC-18)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configuration requirements, connection requirements and implementation guidance for each type of wireless access. (AC-18a)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authorize each type of wireless access to the system before allowing such connections. (AC-18b)</w:t>
      </w:r>
    </w:p>
    <w:bookmarkEnd w:id="27"/>
    <w:bookmarkStart w:id="28" w:name="access-control-for-mobile-devices-ac-19"/>
    <w:p>
      <w:pPr>
        <w:pStyle w:val="Heading3"/>
      </w:pPr>
      <w:r>
        <w:t xml:space="preserve">Access control for mobile devices (AC-19)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configuration requirements, connection requirements and implementation guidance for organization-controlled mobile devices, including when devices are outside controlled areas. (AC-19a)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authorize the connection of mobile devices to the system. (AC-19b)</w:t>
      </w:r>
    </w:p>
    <w:bookmarkEnd w:id="28"/>
    <w:bookmarkStart w:id="29" w:name="use-of-external-systems-ac-20"/>
    <w:p>
      <w:pPr>
        <w:pStyle w:val="Heading3"/>
      </w:pPr>
      <w:r>
        <w:t xml:space="preserve">Use of external systems (AC-20)</w:t>
      </w:r>
    </w:p>
    <w:p>
      <w:pPr>
        <w:pStyle w:val="Compact"/>
        <w:numPr>
          <w:ilvl w:val="0"/>
          <w:numId w:val="1013"/>
        </w:numPr>
      </w:pPr>
      <w:r>
        <w:t xml:space="preserve">Before authorized individuals access the system from an external system, or process, store or transmit organization-controlled information on one,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</w:t>
      </w:r>
      <w:r>
        <w:t xml:space="preserve"> </w:t>
      </w:r>
      <w:r>
        <w:rPr>
          <w:rStyle w:val="Fill-in"/>
        </w:rPr>
        <w:t xml:space="preserve">[Select one or more: establish [Assignment: organization-defined terms and conditions]; identify [Assignment: organization-defined controls asserted]. Typical: establish terms and conditions in a signed agreement with the organization that owns the external system]</w:t>
      </w:r>
      <w:r>
        <w:t xml:space="preserve">, consistent with the trust relationship with the organization that owns, operates or maintains the external system. (AC-20a)</w:t>
      </w:r>
    </w:p>
    <w:p>
      <w:pPr>
        <w:pStyle w:val="Compact"/>
        <w:numPr>
          <w:ilvl w:val="0"/>
          <w:numId w:val="1013"/>
        </w:numPr>
      </w:pPr>
      <w:r>
        <w:t xml:space="preserve">Users shall not use</w:t>
      </w:r>
      <w:r>
        <w:t xml:space="preserve"> </w:t>
      </w:r>
      <w:r>
        <w:rPr>
          <w:rStyle w:val="Fill-in"/>
        </w:rPr>
        <w:t xml:space="preserve">[Fill in: types of external systems prohibited from use. Typical: personally owned devices that the organization does not manage, and public or shared computers]</w:t>
      </w:r>
      <w:r>
        <w:t xml:space="preserve"> </w:t>
      </w:r>
      <w:r>
        <w:t xml:space="preserve">to access the system or to process, store or transmit organization-controlled information. (AC-20b)</w:t>
      </w:r>
    </w:p>
    <w:bookmarkEnd w:id="29"/>
    <w:bookmarkStart w:id="30" w:name="publicly-accessible-content-ac-22"/>
    <w:p>
      <w:pPr>
        <w:pStyle w:val="Heading3"/>
      </w:pPr>
      <w:r>
        <w:t xml:space="preserve">Publicly accessible content (AC-22)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designate the individuals authorized to make information publicly accessible. (AC-22a)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those individuals are trained to keep nonpublic information out of publicly accessible content. (AC-22b)</w:t>
      </w:r>
    </w:p>
    <w:p>
      <w:pPr>
        <w:pStyle w:val="Compact"/>
        <w:numPr>
          <w:ilvl w:val="0"/>
          <w:numId w:val="1014"/>
        </w:numPr>
      </w:pPr>
      <w:r>
        <w:t xml:space="preserve">The designated individuals shall review proposed content for nonpublic information before posting it on the publicly accessible system. (AC-22c)</w:t>
      </w:r>
    </w:p>
    <w:p>
      <w:pPr>
        <w:pStyle w:val="Compact"/>
        <w:numPr>
          <w:ilvl w:val="0"/>
          <w:numId w:val="1014"/>
        </w:numPr>
      </w:pPr>
      <w:r>
        <w:t xml:space="preserve">The designated individuals shall review the content on the publicly accessible system for nonpublic information</w:t>
      </w:r>
      <w:r>
        <w:t xml:space="preserve"> </w:t>
      </w:r>
      <w:r>
        <w:rPr>
          <w:rStyle w:val="Fill-in"/>
        </w:rPr>
        <w:t xml:space="preserve">[Fill in: the frequency at which to review the content on the publicly accessible system for non-public information. Typical: quarterly]</w:t>
      </w:r>
      <w:r>
        <w:t xml:space="preserve">. (AC-22d)</w:t>
      </w:r>
    </w:p>
    <w:p>
      <w:pPr>
        <w:pStyle w:val="Compact"/>
        <w:numPr>
          <w:ilvl w:val="0"/>
          <w:numId w:val="1014"/>
        </w:numPr>
      </w:pPr>
      <w:r>
        <w:t xml:space="preserve">The designated individuals shall remove nonpublic information when a review discovers it. (AC-22d)</w:t>
      </w:r>
    </w:p>
    <w:bookmarkEnd w:id="30"/>
    <w:bookmarkEnd w:id="31"/>
    <w:bookmarkStart w:id="35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access control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access control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access control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(AC-1c.1)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access control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access control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(AC-1c.2)</w:t>
      </w:r>
    </w:p>
    <w:bookmarkStart w:id="34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2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3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6"/>
        </w:numPr>
      </w:pPr>
      <w:r>
        <w:t xml:space="preserve">Where the agency’s organization-wide policy sets a value for a parameter in this policy, each system shall use that value or a stricter one. (AC-1a.1(b))</w:t>
      </w:r>
    </w:p>
    <w:bookmarkEnd w:id="34"/>
    <w:bookmarkEnd w:id="35"/>
    <w:bookmarkEnd w:id="36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Access Control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kston83.github.io/nist-guide/controls/ac/ac-8/" TargetMode="External" /><Relationship Type="http://schemas.openxmlformats.org/officeDocument/2006/relationships/hyperlink" Id="rId9" Target="https://kston83.github.io/nist-guide/templates/policies/ac/" TargetMode="External" /><Relationship Type="http://schemas.openxmlformats.org/officeDocument/2006/relationships/hyperlink" Id="rId32" Target="https://uscode.house.gov/view.xhtml?req=granuleid:USC-prelim-title44-section3554&amp;num=0&amp;edition=prelim" TargetMode="External" /><Relationship Type="http://schemas.openxmlformats.org/officeDocument/2006/relationships/hyperlink" Id="rId33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2" Target="https://kston83.github.io/nist-guide/controls/ac/ac-8/" TargetMode="External" /><Relationship Type="http://schemas.openxmlformats.org/officeDocument/2006/relationships/hyperlink" Id="rId9" Target="https://kston83.github.io/nist-guide/templates/policies/ac/" TargetMode="External" /><Relationship Type="http://schemas.openxmlformats.org/officeDocument/2006/relationships/hyperlink" Id="rId32" Target="https://uscode.house.gov/view.xhtml?req=granuleid:USC-prelim-title44-section3554&amp;num=0&amp;edition=prelim" TargetMode="External" /><Relationship Type="http://schemas.openxmlformats.org/officeDocument/2006/relationships/hyperlink" Id="rId33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