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0" w:name="access-control-policy"/>
    <w:p>
      <w:pPr>
        <w:pStyle w:val="Heading1"/>
      </w:pPr>
      <w:r>
        <w:t xml:space="preserve">Access Control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AC-1,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AC-1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Access Control, and who is accountable for meeting those requirements. (AC-1a.1(a))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(AC-1a.1(a))</w:t>
      </w:r>
    </w:p>
    <w:p>
      <w:pPr>
        <w:pStyle w:val="Compact"/>
        <w:numPr>
          <w:ilvl w:val="0"/>
          <w:numId w:val="1001"/>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manage the development, documentation and dissemination of this policy and its procedures. (AC-1b)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(AC-1a.1(a))</w:t>
      </w:r>
    </w:p>
    <w:p>
      <w:pPr>
        <w:pStyle w:val="Compact"/>
        <w:numPr>
          <w:ilvl w:val="0"/>
          <w:numId w:val="1002"/>
        </w:numPr>
      </w:pPr>
      <w:r>
        <w:t xml:space="preserve">Violations of this policy shall be handled through the organization’s sanctions process. (AC-1a.1(a))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ensure that documented procedures exist to implement this policy and its associated controls. (AC-1a.2)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access control policy is to be disseminated. Typical: everyone within its scope, through the policy library]</w:t>
      </w:r>
      <w:r>
        <w:t xml:space="preserve">. (AC-1a)</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access control procedures are to be disseminated. Typical: the people who carry them out, and the system owners]</w:t>
      </w:r>
      <w:r>
        <w:t xml:space="preserve">. (AC-1a)</w:t>
      </w:r>
    </w:p>
    <w:bookmarkEnd w:id="18"/>
    <w:bookmarkStart w:id="65"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account-management-ac-2"/>
    <w:p>
      <w:pPr>
        <w:pStyle w:val="Heading3"/>
      </w:pPr>
      <w:r>
        <w:t xml:space="preserve">Account management (AC-2)</w:t>
      </w:r>
    </w:p>
    <w:p>
      <w:pPr>
        <w:pStyle w:val="Guidance"/>
      </w:pPr>
      <w:r>
        <w:t xml:space="preserve">AC-2 makes account management a controlled life cycle: every account has a known type, an owner, an approval and a removal trigger. Each statement below maps to one lettered item of the control. Assessors test these by sampling account requests, recent departures and the last access review, so keep the records each statement implies.</w:t>
      </w:r>
    </w:p>
    <w:p>
      <w:pPr>
        <w:pStyle w:val="Compact"/>
        <w:numPr>
          <w:ilvl w:val="0"/>
          <w:numId w:val="1004"/>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4"/>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4"/>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4"/>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4"/>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4"/>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4"/>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4"/>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4"/>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p>
      <w:pPr>
        <w:pStyle w:val="Guidance"/>
      </w:pPr>
      <w:r>
        <w:t xml:space="preserve">Where the organization does not use shared or group accounts, keep the AC-2k statement and note in the system security plan that none are deployed; the assessor will still ask. Evidence for AC-2l is usually an automated feed from the human resources system to the identity provider, or a documented handoff in the</w:t>
      </w:r>
      <w:r>
        <w:t xml:space="preserve"> </w:t>
      </w:r>
      <w:hyperlink r:id="rId19">
        <w:r>
          <w:rPr>
            <w:rStyle w:val="Hyperlink"/>
          </w:rPr>
          <w:t xml:space="preserve">onboarding, transfer and termination checklist</w:t>
        </w:r>
      </w:hyperlink>
      <w:r>
        <w:t xml:space="preserve"> </w:t>
      </w:r>
      <w:r>
        <w:t xml:space="preserve">(PS-4). The</w:t>
      </w:r>
      <w:r>
        <w:t xml:space="preserve"> </w:t>
      </w:r>
      <w:hyperlink r:id="rId20">
        <w:r>
          <w:rPr>
            <w:rStyle w:val="Hyperlink"/>
          </w:rPr>
          <w:t xml:space="preserve">account management procedure</w:t>
        </w:r>
      </w:hyperlink>
      <w:r>
        <w:t xml:space="preserve"> </w:t>
      </w:r>
      <w:r>
        <w:t xml:space="preserve">carries out these statements step by step; the</w:t>
      </w:r>
      <w:r>
        <w:t xml:space="preserve"> </w:t>
      </w:r>
      <w:hyperlink r:id="rId21">
        <w:r>
          <w:rPr>
            <w:rStyle w:val="Hyperlink"/>
          </w:rPr>
          <w:t xml:space="preserve">access request form</w:t>
        </w:r>
      </w:hyperlink>
      <w:r>
        <w:t xml:space="preserve"> </w:t>
      </w:r>
      <w:r>
        <w:t xml:space="preserve">and the</w:t>
      </w:r>
      <w:r>
        <w:t xml:space="preserve"> </w:t>
      </w:r>
      <w:hyperlink r:id="rId22">
        <w:r>
          <w:rPr>
            <w:rStyle w:val="Hyperlink"/>
          </w:rPr>
          <w:t xml:space="preserve">access review record</w:t>
        </w:r>
      </w:hyperlink>
      <w:r>
        <w:t xml:space="preserve"> </w:t>
      </w:r>
      <w:r>
        <w:t xml:space="preserve">are the records assessors sample for AC-2e and AC-2j.</w:t>
      </w:r>
    </w:p>
    <w:bookmarkEnd w:id="23"/>
    <w:bookmarkStart w:id="24" w:name="Xc528b2bec558cbec1ef9e5bb0e18bd9cb488093"/>
    <w:p>
      <w:pPr>
        <w:pStyle w:val="Heading3"/>
      </w:pPr>
      <w:r>
        <w:t xml:space="preserve">Automated system account management (AC-2(1))</w:t>
      </w:r>
    </w:p>
    <w:p>
      <w:pPr>
        <w:pStyle w:val="Compact"/>
        <w:numPr>
          <w:ilvl w:val="0"/>
          <w:numId w:val="1005"/>
        </w:numPr>
      </w:pPr>
      <w:r>
        <w:t xml:space="preserve">The</w:t>
      </w:r>
      <w:r>
        <w:t xml:space="preserve"> </w:t>
      </w:r>
      <w:r>
        <w:rPr>
          <w:rStyle w:val="Fill-in"/>
        </w:rPr>
        <w:t xml:space="preserve">[System owner]</w:t>
      </w:r>
      <w:r>
        <w:t xml:space="preserve"> </w:t>
      </w:r>
      <w:r>
        <w:t xml:space="preserve">shall support the management of system accounts using</w:t>
      </w:r>
      <w:r>
        <w:t xml:space="preserve"> </w:t>
      </w:r>
      <w:r>
        <w:rPr>
          <w:rStyle w:val="Fill-in"/>
        </w:rPr>
        <w:t xml:space="preserve">[Fill in: automated mechanisms used to support the management of system accounts. Typical: the organization’s identity provider and its provisioning workflows]</w:t>
      </w:r>
      <w:r>
        <w:t xml:space="preserve">. (AC-2(1))</w:t>
      </w:r>
    </w:p>
    <w:bookmarkEnd w:id="24"/>
    <w:bookmarkStart w:id="25" w:name="X35e803996dd45f1c4e4985e7298fd5a51f5ebe4"/>
    <w:p>
      <w:pPr>
        <w:pStyle w:val="Heading3"/>
      </w:pPr>
      <w:r>
        <w:t xml:space="preserve">Automated temporary and emergency account management (AC-2(2))</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automatically</w:t>
      </w:r>
      <w:r>
        <w:t xml:space="preserve"> </w:t>
      </w:r>
      <w:r>
        <w:rPr>
          <w:rStyle w:val="Fill-in"/>
        </w:rPr>
        <w:t xml:space="preserve">[Select one: remove; disable. Typical: disable]</w:t>
      </w:r>
      <w:r>
        <w:t xml:space="preserve"> </w:t>
      </w:r>
      <w:r>
        <w:t xml:space="preserve">temporary and emergency accounts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(AC-2(2))</w:t>
      </w:r>
    </w:p>
    <w:bookmarkEnd w:id="25"/>
    <w:bookmarkStart w:id="26" w:name="disable-accounts-ac-23"/>
    <w:p>
      <w:pPr>
        <w:pStyle w:val="Heading3"/>
      </w:pPr>
      <w:r>
        <w:t xml:space="preserve">Disable accounts (AC-2(3))</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the account has expired. (AC-2(3)(a))</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no longer associated with a user or individual. (AC-2(3)(b))</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in violation of organizational policy. (AC-2(3)(c))</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disables an account that has been inactive for</w:t>
      </w:r>
      <w:r>
        <w:t xml:space="preserve"> </w:t>
      </w:r>
      <w:r>
        <w:rPr>
          <w:rStyle w:val="Fill-in"/>
        </w:rPr>
        <w:t xml:space="preserve">[Fill in: time period for account inactivity before disabling. Typical: 90 days]</w:t>
      </w:r>
      <w:r>
        <w:t xml:space="preserve">. (AC-2(3)(d))</w:t>
      </w:r>
    </w:p>
    <w:bookmarkEnd w:id="26"/>
    <w:bookmarkStart w:id="27" w:name="automated-audit-actions-ac-24"/>
    <w:p>
      <w:pPr>
        <w:pStyle w:val="Heading3"/>
      </w:pPr>
      <w:r>
        <w:t xml:space="preserve">Automated audit actions (AC-2(4))</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automatically audits account creation, modification, enabling, disabling and removal actions. (AC-2(4))</w:t>
      </w:r>
    </w:p>
    <w:bookmarkEnd w:id="27"/>
    <w:bookmarkStart w:id="28" w:name="inactivity-logout-ac-25"/>
    <w:p>
      <w:pPr>
        <w:pStyle w:val="Heading3"/>
      </w:pPr>
      <w:r>
        <w:t xml:space="preserve">Inactivity logout (AC-2(5))</w:t>
      </w:r>
    </w:p>
    <w:p>
      <w:pPr>
        <w:pStyle w:val="Compact"/>
        <w:numPr>
          <w:ilvl w:val="0"/>
          <w:numId w:val="1009"/>
        </w:numPr>
      </w:pPr>
      <w:r>
        <w:t xml:space="preserve">Each user shall log out</w:t>
      </w:r>
      <w:r>
        <w:t xml:space="preserve"> </w:t>
      </w:r>
      <w:r>
        <w:rPr>
          <w:rStyle w:val="Fill-in"/>
        </w:rPr>
        <w:t xml:space="preserve">[Fill in: the time period of expected inactivity or description of when to log out. Typical: at the end of each work session, and when leaving the device unattended for longer than the device lock period]</w:t>
      </w:r>
      <w:r>
        <w:t xml:space="preserve">. (AC-2(5))</w:t>
      </w:r>
    </w:p>
    <w:bookmarkEnd w:id="28"/>
    <w:bookmarkStart w:id="29" w:name="Xe18f2831d548f66523dde9aa99e19ab964370c1"/>
    <w:p>
      <w:pPr>
        <w:pStyle w:val="Heading3"/>
      </w:pPr>
      <w:r>
        <w:t xml:space="preserve">Disable accounts for high-risk individuals (AC-2(13))</w:t>
      </w:r>
    </w:p>
    <w:p>
      <w:pPr>
        <w:pStyle w:val="Compact"/>
        <w:numPr>
          <w:ilvl w:val="0"/>
          <w:numId w:val="1010"/>
        </w:numPr>
      </w:pPr>
      <w:r>
        <w:t xml:space="preserve">The</w:t>
      </w:r>
      <w:r>
        <w:t xml:space="preserve"> </w:t>
      </w:r>
      <w:r>
        <w:rPr>
          <w:rStyle w:val="Fill-in"/>
        </w:rPr>
        <w:t xml:space="preserve">[Account manager]</w:t>
      </w:r>
      <w:r>
        <w:t xml:space="preserve"> </w:t>
      </w:r>
      <w:r>
        <w:t xml:space="preserve">shall disable the accounts of an individual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of</w:t>
      </w:r>
      <w:r>
        <w:t xml:space="preserve"> </w:t>
      </w:r>
      <w:r>
        <w:rPr>
          <w:rStyle w:val="Fill-in"/>
        </w:rPr>
        <w:t xml:space="preserve">[Fill in: significant risks leading to disabling accounts. Typical: credible indicators of insider threat, or notice of an adverse personnel action]</w:t>
      </w:r>
      <w:r>
        <w:t xml:space="preserve">. (AC-2(13))</w:t>
      </w:r>
    </w:p>
    <w:bookmarkEnd w:id="29"/>
    <w:bookmarkStart w:id="30" w:name="access-enforcement-ac-3"/>
    <w:p>
      <w:pPr>
        <w:pStyle w:val="Heading3"/>
      </w:pPr>
      <w:r>
        <w:t xml:space="preserve">Access enforcement (AC-3)</w:t>
      </w:r>
    </w:p>
    <w:p>
      <w:pPr>
        <w:pStyle w:val="Guidance"/>
      </w:pPr>
      <w:r>
        <w:t xml:space="preserve">AC-3 is enforced by the system, not by people: the statement makes the system owner accountable for configuring it. Assessors check that the roles and permissions in the system match the access authorizations approved under AC-2.</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30"/>
    <w:bookmarkStart w:id="32" w:name="information-flow-enforcement-ac-4"/>
    <w:p>
      <w:pPr>
        <w:pStyle w:val="Heading3"/>
      </w:pPr>
      <w:r>
        <w:t xml:space="preserve">Information flow enforcement (AC-4)</w:t>
      </w:r>
    </w:p>
    <w:p>
      <w:pPr>
        <w:pStyle w:val="Guidance"/>
      </w:pPr>
      <w:r>
        <w:t xml:space="preserve">Information flow enforcement decides where information may go, not who may see it: firewall and proxy rules, cross-domain and data loss prevention filters, and cloud network policies. The</w:t>
      </w:r>
      <w:r>
        <w:t xml:space="preserve"> </w:t>
      </w:r>
      <w:hyperlink r:id="rId31">
        <w:r>
          <w:rPr>
            <w:rStyle w:val="Hyperlink"/>
          </w:rPr>
          <w:t xml:space="preserve">Boundary Protection Standard</w:t>
        </w:r>
      </w:hyperlink>
      <w:r>
        <w:t xml:space="preserve"> </w:t>
      </w:r>
      <w:r>
        <w:t xml:space="preserve">holds the rules; interconnection agreements (CA-3) approve flows to other systems.</w:t>
      </w:r>
    </w:p>
    <w:p>
      <w:pPr>
        <w:pStyle w:val="Compact"/>
        <w:numPr>
          <w:ilvl w:val="0"/>
          <w:numId w:val="1012"/>
        </w:numPr>
      </w:pPr>
      <w:r>
        <w:t xml:space="preserve">The</w:t>
      </w:r>
      <w:r>
        <w:t xml:space="preserve"> </w:t>
      </w:r>
      <w:r>
        <w:rPr>
          <w:rStyle w:val="Fill-in"/>
        </w:rPr>
        <w:t xml:space="preserve">[System owner]</w:t>
      </w:r>
      <w:r>
        <w:t xml:space="preserve"> </w:t>
      </w:r>
      <w:r>
        <w:t xml:space="preserve">shall ensure the system enforces approved authorizations for controlling the flow of information within the system and between connected systems based on</w:t>
      </w:r>
      <w:r>
        <w:t xml:space="preserve"> </w:t>
      </w:r>
      <w:r>
        <w:rPr>
          <w:rStyle w:val="Fill-in"/>
        </w:rPr>
        <w:t xml:space="preserve">[Fill in: information flow control policies within the system and between connected systems. Typical: the boundary protection standard and the approved interconnection agreements]</w:t>
      </w:r>
      <w:r>
        <w:t xml:space="preserve">. (AC-4)</w:t>
      </w:r>
    </w:p>
    <w:bookmarkEnd w:id="32"/>
    <w:bookmarkStart w:id="33" w:name="separation-of-duties-ac-5"/>
    <w:p>
      <w:pPr>
        <w:pStyle w:val="Heading3"/>
      </w:pPr>
      <w:r>
        <w:t xml:space="preserve">Separation of duties (AC-5)</w:t>
      </w:r>
    </w:p>
    <w:p>
      <w:pPr>
        <w:pStyle w:val="Compact"/>
        <w:numPr>
          <w:ilvl w:val="0"/>
          <w:numId w:val="1013"/>
        </w:numPr>
      </w:pPr>
      <w:r>
        <w:t xml:space="preserve">The</w:t>
      </w:r>
      <w:r>
        <w:t xml:space="preserve"> </w:t>
      </w:r>
      <w:r>
        <w:rPr>
          <w:rStyle w:val="Fill-in"/>
        </w:rPr>
        <w:t xml:space="preserve">[System owner]</w:t>
      </w:r>
      <w:r>
        <w:t xml:space="preserve"> </w:t>
      </w:r>
      <w:r>
        <w:t xml:space="preserve">shall identify and document</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(AC-5a)</w:t>
      </w:r>
    </w:p>
    <w:p>
      <w:pPr>
        <w:pStyle w:val="Compact"/>
        <w:numPr>
          <w:ilvl w:val="0"/>
          <w:numId w:val="1013"/>
        </w:numPr>
      </w:pPr>
      <w:r>
        <w:t xml:space="preserve">The</w:t>
      </w:r>
      <w:r>
        <w:t xml:space="preserve"> </w:t>
      </w:r>
      <w:r>
        <w:rPr>
          <w:rStyle w:val="Fill-in"/>
        </w:rPr>
        <w:t xml:space="preserve">[System owner]</w:t>
      </w:r>
      <w:r>
        <w:t xml:space="preserve"> </w:t>
      </w:r>
      <w:r>
        <w:t xml:space="preserve">shall define system access authorizations that support separation of those duties. (AC-5b)</w:t>
      </w:r>
    </w:p>
    <w:bookmarkEnd w:id="33"/>
    <w:bookmarkStart w:id="34" w:name="least-privilege-ac-6"/>
    <w:p>
      <w:pPr>
        <w:pStyle w:val="Heading3"/>
      </w:pPr>
      <w:r>
        <w:t xml:space="preserve">Least privilege (AC-6)</w:t>
      </w:r>
    </w:p>
    <w:p>
      <w:pPr>
        <w:pStyle w:val="Compact"/>
        <w:numPr>
          <w:ilvl w:val="0"/>
          <w:numId w:val="1014"/>
        </w:numPr>
      </w:pPr>
      <w:r>
        <w:t xml:space="preserve">The</w:t>
      </w:r>
      <w:r>
        <w:t xml:space="preserve"> </w:t>
      </w:r>
      <w:r>
        <w:rPr>
          <w:rStyle w:val="Fill-in"/>
        </w:rPr>
        <w:t xml:space="preserve">[System owner]</w:t>
      </w:r>
      <w:r>
        <w:t xml:space="preserve"> </w:t>
      </w:r>
      <w:r>
        <w:t xml:space="preserve">shall ensure users, and processes acting on behalf of users, are granted only the access necessary to accomplish their assigned organizational tasks. (AC-6)</w:t>
      </w:r>
    </w:p>
    <w:bookmarkEnd w:id="34"/>
    <w:bookmarkStart w:id="35" w:name="X177fe2d749b035774dfc072df668e9dd34bc1e9"/>
    <w:p>
      <w:pPr>
        <w:pStyle w:val="Heading3"/>
      </w:pPr>
      <w:r>
        <w:t xml:space="preserve">Authorize access to security functions (AC-6(1))</w:t>
      </w:r>
    </w:p>
    <w:p>
      <w:pPr>
        <w:pStyle w:val="Compact"/>
        <w:numPr>
          <w:ilvl w:val="0"/>
          <w:numId w:val="1015"/>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 functions (deployed in hardware, software, and firmware). Typical: account management, audit configuration, security settings and cryptographic key management]</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(AC-6(1)(a))</w:t>
      </w:r>
    </w:p>
    <w:p>
      <w:pPr>
        <w:pStyle w:val="Compact"/>
        <w:numPr>
          <w:ilvl w:val="0"/>
          <w:numId w:val="1015"/>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security-relevant information for authorized access. Typical: audit logs, security configuration settings and access control lists]</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(AC-6(1)(b))</w:t>
      </w:r>
    </w:p>
    <w:bookmarkEnd w:id="35"/>
    <w:bookmarkStart w:id="36" w:name="X3a20c3c8012fbd517d803985e5e2c3716cca251"/>
    <w:p>
      <w:pPr>
        <w:pStyle w:val="Heading3"/>
      </w:pPr>
      <w:r>
        <w:t xml:space="preserve">Non-privileged access for nonsecurity functions (AC-6(2))</w:t>
      </w:r>
    </w:p>
    <w:p>
      <w:pPr>
        <w:pStyle w:val="Compact"/>
        <w:numPr>
          <w:ilvl w:val="0"/>
          <w:numId w:val="1016"/>
        </w:numPr>
      </w:pPr>
      <w:r>
        <w:t xml:space="preserve">Users of accounts or roles with access to</w:t>
      </w:r>
      <w:r>
        <w:t xml:space="preserve"> </w:t>
      </w:r>
      <w:r>
        <w:rPr>
          <w:rStyle w:val="Fill-in"/>
        </w:rPr>
        <w:t xml:space="preserve">[Fill in: security functions or security-relevant information, the access to which requires users to use non-privileged accounts to access non-security functions,. Typical: the security functions and security-relevant information authorized under AC-6(1)]</w:t>
      </w:r>
      <w:r>
        <w:t xml:space="preserve"> </w:t>
      </w:r>
      <w:r>
        <w:t xml:space="preserve">shall use non-privileged accounts or roles when accessing nonsecurity functions such as email and web browsing. (AC-6(2))</w:t>
      </w:r>
    </w:p>
    <w:bookmarkEnd w:id="36"/>
    <w:bookmarkStart w:id="37" w:name="privileged-accounts-ac-65"/>
    <w:p>
      <w:pPr>
        <w:pStyle w:val="Heading3"/>
      </w:pPr>
      <w:r>
        <w:t xml:space="preserve">Privileged accounts (AC-6(5))</w:t>
      </w:r>
    </w:p>
    <w:p>
      <w:pPr>
        <w:pStyle w:val="Compact"/>
        <w:numPr>
          <w:ilvl w:val="0"/>
          <w:numId w:val="1017"/>
        </w:numPr>
      </w:pPr>
      <w:r>
        <w:t xml:space="preserve">The</w:t>
      </w:r>
      <w:r>
        <w:t xml:space="preserve"> </w:t>
      </w:r>
      <w:r>
        <w:rPr>
          <w:rStyle w:val="Fill-in"/>
        </w:rPr>
        <w:t xml:space="preserve">[System owner]</w:t>
      </w:r>
      <w:r>
        <w:t xml:space="preserve"> </w:t>
      </w:r>
      <w:r>
        <w:t xml:space="preserve">shall restrict privileged accounts on the system to</w:t>
      </w:r>
      <w:r>
        <w:t xml:space="preserve"> </w:t>
      </w:r>
      <w:r>
        <w:rPr>
          <w:rStyle w:val="Fill-in"/>
        </w:rPr>
        <w:t xml:space="preserve">[Fill in: personnel or roles to which privileged accounts on the system are to be restricted. Typical: the system administrators named in the system security plan]</w:t>
      </w:r>
      <w:r>
        <w:t xml:space="preserve">. (AC-6(5))</w:t>
      </w:r>
    </w:p>
    <w:bookmarkEnd w:id="37"/>
    <w:bookmarkStart w:id="38" w:name="review-of-user-privileges-ac-67"/>
    <w:p>
      <w:pPr>
        <w:pStyle w:val="Heading3"/>
      </w:pPr>
      <w:r>
        <w:t xml:space="preserve">Review of user privileges (AC-6(7))</w:t>
      </w:r>
    </w:p>
    <w:p>
      <w:pPr>
        <w:pStyle w:val="Compact"/>
        <w:numPr>
          <w:ilvl w:val="0"/>
          <w:numId w:val="1018"/>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the privileges assigned to</w:t>
      </w:r>
      <w:r>
        <w:t xml:space="preserve"> </w:t>
      </w:r>
      <w:r>
        <w:rPr>
          <w:rStyle w:val="Fill-in"/>
        </w:rPr>
        <w:t xml:space="preserve">[Fill in: roles or classes of users to which privileges are assigned. Typical: all roles and classes of users on the system]</w:t>
      </w:r>
      <w:r>
        <w:t xml:space="preserve"> </w:t>
      </w:r>
      <w:r>
        <w:t xml:space="preserve">to validate the need for them. (AC-6(7)(a))</w:t>
      </w:r>
    </w:p>
    <w:p>
      <w:pPr>
        <w:pStyle w:val="Compact"/>
        <w:numPr>
          <w:ilvl w:val="0"/>
          <w:numId w:val="1018"/>
        </w:numPr>
      </w:pPr>
      <w:r>
        <w:t xml:space="preserve">The</w:t>
      </w:r>
      <w:r>
        <w:t xml:space="preserve"> </w:t>
      </w:r>
      <w:r>
        <w:rPr>
          <w:rStyle w:val="Fill-in"/>
        </w:rPr>
        <w:t xml:space="preserve">[Account manager]</w:t>
      </w:r>
      <w:r>
        <w:t xml:space="preserve"> </w:t>
      </w:r>
      <w:r>
        <w:t xml:space="preserve">shall reassign or remove privileges the review finds are not needed for the user’s mission and business functions. (AC-6(7)(b))</w:t>
      </w:r>
    </w:p>
    <w:bookmarkEnd w:id="38"/>
    <w:bookmarkStart w:id="39" w:name="log-use-of-privileged-functions-ac-69"/>
    <w:p>
      <w:pPr>
        <w:pStyle w:val="Heading3"/>
      </w:pPr>
      <w:r>
        <w:t xml:space="preserve">Log use of privileged functions (AC-6(9))</w:t>
      </w:r>
    </w:p>
    <w:p>
      <w:pPr>
        <w:pStyle w:val="Compact"/>
        <w:numPr>
          <w:ilvl w:val="0"/>
          <w:numId w:val="1019"/>
        </w:numPr>
      </w:pPr>
      <w:r>
        <w:t xml:space="preserve">The</w:t>
      </w:r>
      <w:r>
        <w:t xml:space="preserve"> </w:t>
      </w:r>
      <w:r>
        <w:rPr>
          <w:rStyle w:val="Fill-in"/>
        </w:rPr>
        <w:t xml:space="preserve">[System owner]</w:t>
      </w:r>
      <w:r>
        <w:t xml:space="preserve"> </w:t>
      </w:r>
      <w:r>
        <w:t xml:space="preserve">shall ensure the system logs the execution of privileged functions. (AC-6(9))</w:t>
      </w:r>
    </w:p>
    <w:bookmarkEnd w:id="39"/>
    <w:bookmarkStart w:id="40" w:name="Xda503a605bdb342412ca5ac5986d1e0097f2cf2"/>
    <w:p>
      <w:pPr>
        <w:pStyle w:val="Heading3"/>
      </w:pPr>
      <w:r>
        <w:t xml:space="preserve">Prohibit non-privileged users from executing privileged functions (AC-6(10))</w:t>
      </w:r>
    </w:p>
    <w:p>
      <w:pPr>
        <w:pStyle w:val="Compact"/>
        <w:numPr>
          <w:ilvl w:val="0"/>
          <w:numId w:val="1020"/>
        </w:numPr>
      </w:pPr>
      <w:r>
        <w:t xml:space="preserve">The</w:t>
      </w:r>
      <w:r>
        <w:t xml:space="preserve"> </w:t>
      </w:r>
      <w:r>
        <w:rPr>
          <w:rStyle w:val="Fill-in"/>
        </w:rPr>
        <w:t xml:space="preserve">[System owner]</w:t>
      </w:r>
      <w:r>
        <w:t xml:space="preserve"> </w:t>
      </w:r>
      <w:r>
        <w:t xml:space="preserve">shall ensure the system prevents non-privileged users from executing privileged functions. (AC-6(10))</w:t>
      </w:r>
    </w:p>
    <w:bookmarkEnd w:id="40"/>
    <w:bookmarkStart w:id="41" w:name="unsuccessful-logon-attempts-ac-7"/>
    <w:p>
      <w:pPr>
        <w:pStyle w:val="Heading3"/>
      </w:pPr>
      <w:r>
        <w:t xml:space="preserve">Unsuccessful logon attempts (AC-7)</w:t>
      </w:r>
    </w:p>
    <w:p>
      <w:pPr>
        <w:pStyle w:val="Compact"/>
        <w:numPr>
          <w:ilvl w:val="0"/>
          <w:numId w:val="1021"/>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21"/>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41"/>
    <w:bookmarkStart w:id="44" w:name="system-use-notification-ac-8"/>
    <w:p>
      <w:pPr>
        <w:pStyle w:val="Heading3"/>
      </w:pPr>
      <w:r>
        <w:t xml:space="preserve">System use notification (AC-8)</w:t>
      </w:r>
    </w:p>
    <w:p>
      <w:pPr>
        <w:pStyle w:val="Guidance"/>
      </w:pPr>
      <w:r>
        <w:t xml:space="preserve">The banner text is usually approved once by legal counsel and reused on every system. The four notices listed in AC-8a are written for U.S. Government systems; the statements below keep the ones that apply to any organization and move the two government-only notices to the federal section.</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22"/>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22"/>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22"/>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22"/>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43" w:name="federal-systems"/>
    <w:p>
      <w:pPr>
        <w:pStyle w:val="Heading4"/>
      </w:pPr>
      <w:r>
        <w:t xml:space="preserve">Federal systems</w:t>
      </w:r>
    </w:p>
    <w:p>
      <w:pPr>
        <w:pStyle w:val="FirstParagraph"/>
      </w:pPr>
      <w:r>
        <w:t xml:space="preserve">SP 800-53 Rev. 5 AC-8a requires the notice on federal systems to state two more things (</w:t>
      </w:r>
      <w:hyperlink r:id="rId42">
        <w:r>
          <w:rPr>
            <w:rStyle w:val="Hyperlink"/>
          </w:rPr>
          <w:t xml:space="preserve">AC-8</w:t>
        </w:r>
      </w:hyperlink>
      <w:r>
        <w:t xml:space="preserve">).</w:t>
      </w:r>
    </w:p>
    <w:p>
      <w:pPr>
        <w:pStyle w:val="Compact"/>
        <w:numPr>
          <w:ilvl w:val="0"/>
          <w:numId w:val="1023"/>
        </w:numPr>
      </w:pPr>
      <w:r>
        <w:t xml:space="preserve">The notice shall state that users are accessing a U.S. Government system. (AC-8a.1)</w:t>
      </w:r>
    </w:p>
    <w:p>
      <w:pPr>
        <w:pStyle w:val="Compact"/>
        <w:numPr>
          <w:ilvl w:val="0"/>
          <w:numId w:val="1023"/>
        </w:numPr>
      </w:pPr>
      <w:r>
        <w:t xml:space="preserve">The notice shall state that unauthorized use of the system is subject to criminal and civil penalties. (AC-8a.3)</w:t>
      </w:r>
    </w:p>
    <w:bookmarkEnd w:id="43"/>
    <w:bookmarkEnd w:id="44"/>
    <w:bookmarkStart w:id="45" w:name="device-lock-ac-11"/>
    <w:p>
      <w:pPr>
        <w:pStyle w:val="Heading3"/>
      </w:pPr>
      <w:r>
        <w:t xml:space="preserve">Device lock (AC-11)</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 prevents further access by</w:t>
      </w:r>
      <w:r>
        <w:t xml:space="preserve"> </w:t>
      </w:r>
      <w:r>
        <w:rPr>
          <w:rStyle w:val="Fill-in"/>
        </w:rPr>
        <w:t xml:space="preserve">[Select one or more: initiating a device lock after [Assignment: organization-defined time period] of inactivity; requiring the user to initiate a device lock before leaving the system unattended. Typical: initiating a device lock after 15 minutes of inactivity, and requiring the user to initiate a device lock before leaving the system unattended]</w:t>
      </w:r>
      <w:r>
        <w:t xml:space="preserve">. (AC-11a)</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device lock remains until the user reestablishes access using the established identification and authentication procedures. (AC-11b)</w:t>
      </w:r>
    </w:p>
    <w:bookmarkEnd w:id="45"/>
    <w:bookmarkStart w:id="46" w:name="pattern-hiding-displays-ac-111"/>
    <w:p>
      <w:pPr>
        <w:pStyle w:val="Heading3"/>
      </w:pPr>
      <w:r>
        <w:t xml:space="preserve">Pattern-hiding displays (AC-11(1))</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device lock conceals information previously visible on the display with a publicly viewable image. (AC-11(1))</w:t>
      </w:r>
    </w:p>
    <w:bookmarkEnd w:id="46"/>
    <w:bookmarkStart w:id="47" w:name="session-termination-ac-12"/>
    <w:p>
      <w:pPr>
        <w:pStyle w:val="Heading3"/>
      </w:pPr>
      <w:r>
        <w:t xml:space="preserve">Session termination (AC-12)</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automatically terminates a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bookmarkEnd w:id="47"/>
    <w:bookmarkStart w:id="48" w:name="Xf121a6090dc4fed50eb726d5cb35d35e0a89f04"/>
    <w:p>
      <w:pPr>
        <w:pStyle w:val="Heading3"/>
      </w:pPr>
      <w:r>
        <w:t xml:space="preserve">Permitted actions without identification or authentication (AC-14)</w:t>
      </w:r>
    </w:p>
    <w:p>
      <w:pPr>
        <w:pStyle w:val="Compact"/>
        <w:numPr>
          <w:ilvl w:val="0"/>
          <w:numId w:val="1027"/>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27"/>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48"/>
    <w:bookmarkStart w:id="50" w:name="remote-access-ac-17"/>
    <w:p>
      <w:pPr>
        <w:pStyle w:val="Heading3"/>
      </w:pPr>
      <w:r>
        <w:t xml:space="preserve">Remote access (AC-17)</w:t>
      </w:r>
    </w:p>
    <w:p>
      <w:pPr>
        <w:pStyle w:val="Guidance"/>
      </w:pPr>
      <w:r>
        <w:t xml:space="preserve">The</w:t>
      </w:r>
      <w:r>
        <w:t xml:space="preserve"> </w:t>
      </w:r>
      <w:hyperlink r:id="rId49">
        <w:r>
          <w:rPr>
            <w:rStyle w:val="Hyperlink"/>
          </w:rPr>
          <w:t xml:space="preserve">remote access standard</w:t>
        </w:r>
      </w:hyperlink>
      <w:r>
        <w:t xml:space="preserve"> </w:t>
      </w:r>
      <w:r>
        <w:t xml:space="preserve">is where the CISO documents the usage restrictions, configuration and connection requirements and implementation guidance for each allowed method (AC-17a), along with the AC-17(1) to AC-17(4) requirements. Each system’s security plan records which of those methods the system owner has authorized (AC-17b).</w:t>
      </w:r>
    </w:p>
    <w:p>
      <w:pPr>
        <w:pStyle w:val="Compact"/>
        <w:numPr>
          <w:ilvl w:val="0"/>
          <w:numId w:val="1028"/>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28"/>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50"/>
    <w:bookmarkStart w:id="51" w:name="Xfcae350b41e09ed868197c4a4a85f57bad51f90"/>
    <w:p>
      <w:pPr>
        <w:pStyle w:val="Heading3"/>
      </w:pPr>
      <w:r>
        <w:t xml:space="preserve">Remote access monitoring and control (AC-17(1))</w:t>
      </w:r>
    </w:p>
    <w:p>
      <w:pPr>
        <w:pStyle w:val="Compact"/>
        <w:numPr>
          <w:ilvl w:val="0"/>
          <w:numId w:val="1029"/>
        </w:numPr>
      </w:pPr>
      <w:r>
        <w:t xml:space="preserve">The</w:t>
      </w:r>
      <w:r>
        <w:t xml:space="preserve"> </w:t>
      </w:r>
      <w:r>
        <w:rPr>
          <w:rStyle w:val="Fill-in"/>
        </w:rPr>
        <w:t xml:space="preserve">[System owner]</w:t>
      </w:r>
      <w:r>
        <w:t xml:space="preserve"> </w:t>
      </w:r>
      <w:r>
        <w:t xml:space="preserve">shall employ automated mechanisms to monitor and control remote access methods. (AC-17(1))</w:t>
      </w:r>
    </w:p>
    <w:bookmarkEnd w:id="51"/>
    <w:bookmarkStart w:id="52" w:name="Xde0e91d84a3785bf8bc4ef68d38ad15f62a333e"/>
    <w:p>
      <w:pPr>
        <w:pStyle w:val="Heading3"/>
      </w:pPr>
      <w:r>
        <w:t xml:space="preserve">Protection of confidentiality and integrity using encryption (AC-17(2))</w:t>
      </w:r>
    </w:p>
    <w:p>
      <w:pPr>
        <w:pStyle w:val="Compact"/>
        <w:numPr>
          <w:ilvl w:val="0"/>
          <w:numId w:val="1030"/>
        </w:numPr>
      </w:pPr>
      <w:r>
        <w:t xml:space="preserve">The</w:t>
      </w:r>
      <w:r>
        <w:t xml:space="preserve"> </w:t>
      </w:r>
      <w:r>
        <w:rPr>
          <w:rStyle w:val="Fill-in"/>
        </w:rPr>
        <w:t xml:space="preserve">[System owner]</w:t>
      </w:r>
      <w:r>
        <w:t xml:space="preserve"> </w:t>
      </w:r>
      <w:r>
        <w:t xml:space="preserve">shall ensure cryptographic mechanisms protect the confidentiality and integrity of remote access sessions. (AC-17(2))</w:t>
      </w:r>
    </w:p>
    <w:bookmarkEnd w:id="52"/>
    <w:bookmarkStart w:id="53" w:name="managed-access-control-points-ac-173"/>
    <w:p>
      <w:pPr>
        <w:pStyle w:val="Heading3"/>
      </w:pPr>
      <w:r>
        <w:t xml:space="preserve">Managed access control points (AC-17(3))</w:t>
      </w:r>
    </w:p>
    <w:p>
      <w:pPr>
        <w:pStyle w:val="Compact"/>
        <w:numPr>
          <w:ilvl w:val="0"/>
          <w:numId w:val="1031"/>
        </w:numPr>
      </w:pPr>
      <w:r>
        <w:t xml:space="preserve">The</w:t>
      </w:r>
      <w:r>
        <w:t xml:space="preserve"> </w:t>
      </w:r>
      <w:r>
        <w:rPr>
          <w:rStyle w:val="Fill-in"/>
        </w:rPr>
        <w:t xml:space="preserve">[System owner]</w:t>
      </w:r>
      <w:r>
        <w:t xml:space="preserve"> </w:t>
      </w:r>
      <w:r>
        <w:t xml:space="preserve">shall ensure remote access is routed through authorized and managed network access control points. (AC-17(3))</w:t>
      </w:r>
    </w:p>
    <w:bookmarkEnd w:id="53"/>
    <w:bookmarkStart w:id="54" w:name="X7e6f5aa6fd520aa3aaef8fb43bfbc5ef6e37200"/>
    <w:p>
      <w:pPr>
        <w:pStyle w:val="Heading3"/>
      </w:pPr>
      <w:r>
        <w:t xml:space="preserve">Remote privileged commands and access (AC-17(4))</w:t>
      </w:r>
    </w:p>
    <w:p>
      <w:pPr>
        <w:pStyle w:val="Compact"/>
        <w:numPr>
          <w:ilvl w:val="0"/>
          <w:numId w:val="1032"/>
        </w:numPr>
      </w:pPr>
      <w:r>
        <w:t xml:space="preserve">The</w:t>
      </w:r>
      <w:r>
        <w:t xml:space="preserve"> </w:t>
      </w:r>
      <w:r>
        <w:rPr>
          <w:rStyle w:val="Fill-in"/>
        </w:rPr>
        <w:t xml:space="preserve">[System owner]</w:t>
      </w:r>
      <w:r>
        <w:t xml:space="preserve"> </w:t>
      </w:r>
      <w:r>
        <w:t xml:space="preserve">shall authorize the execution of privileged commands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and only in a format that provides assessable evidence. (AC-17(4)(a))</w:t>
      </w:r>
    </w:p>
    <w:p>
      <w:pPr>
        <w:pStyle w:val="Compact"/>
        <w:numPr>
          <w:ilvl w:val="0"/>
          <w:numId w:val="1032"/>
        </w:numPr>
      </w:pPr>
      <w:r>
        <w:t xml:space="preserve">The</w:t>
      </w:r>
      <w:r>
        <w:t xml:space="preserve"> </w:t>
      </w:r>
      <w:r>
        <w:rPr>
          <w:rStyle w:val="Fill-in"/>
        </w:rPr>
        <w:t xml:space="preserve">[System owner]</w:t>
      </w:r>
      <w:r>
        <w:t xml:space="preserve"> </w:t>
      </w:r>
      <w:r>
        <w:t xml:space="preserve">shall authorize access to security-relevant information via remote access only for</w:t>
      </w:r>
      <w:r>
        <w:t xml:space="preserve"> </w:t>
      </w:r>
      <w:r>
        <w:rPr>
          <w:rStyle w:val="Fill-in"/>
        </w:rPr>
        <w:t xml:space="preserve">[Fill in: needs requiring access to security-relevant information via remote access. Typical: investigation of security incidents]</w:t>
      </w:r>
      <w:r>
        <w:t xml:space="preserve">, and only in a format that provides assessable evidence. (AC-17(4)(a))</w:t>
      </w:r>
    </w:p>
    <w:p>
      <w:pPr>
        <w:pStyle w:val="Compact"/>
        <w:numPr>
          <w:ilvl w:val="0"/>
          <w:numId w:val="1032"/>
        </w:numPr>
      </w:pPr>
      <w:r>
        <w:t xml:space="preserve">The</w:t>
      </w:r>
      <w:r>
        <w:t xml:space="preserve"> </w:t>
      </w:r>
      <w:r>
        <w:rPr>
          <w:rStyle w:val="Fill-in"/>
        </w:rPr>
        <w:t xml:space="preserve">[System owner]</w:t>
      </w:r>
      <w:r>
        <w:t xml:space="preserve"> </w:t>
      </w:r>
      <w:r>
        <w:t xml:space="preserve">shall document the rationale for such remote access in the system security plan. (AC-17(4)(b))</w:t>
      </w:r>
    </w:p>
    <w:bookmarkEnd w:id="54"/>
    <w:bookmarkStart w:id="55" w:name="wireless-access-ac-18"/>
    <w:p>
      <w:pPr>
        <w:pStyle w:val="Heading3"/>
      </w:pPr>
      <w:r>
        <w:t xml:space="preserve">Wireless access (AC-18)</w:t>
      </w:r>
    </w:p>
    <w:p>
      <w:pPr>
        <w:pStyle w:val="Compact"/>
        <w:numPr>
          <w:ilvl w:val="0"/>
          <w:numId w:val="1033"/>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33"/>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55"/>
    <w:bookmarkStart w:id="56" w:name="X8551b80257ae40304e7f664f2ae76b3d6085cb1"/>
    <w:p>
      <w:pPr>
        <w:pStyle w:val="Heading3"/>
      </w:pPr>
      <w:r>
        <w:t xml:space="preserve">Wireless authentication and encryption (AC-18(1))</w:t>
      </w:r>
    </w:p>
    <w:p>
      <w:pPr>
        <w:pStyle w:val="Compact"/>
        <w:numPr>
          <w:ilvl w:val="0"/>
          <w:numId w:val="1034"/>
        </w:numPr>
      </w:pPr>
      <w:r>
        <w:t xml:space="preserve">The</w:t>
      </w:r>
      <w:r>
        <w:t xml:space="preserve"> </w:t>
      </w:r>
      <w:r>
        <w:rPr>
          <w:rStyle w:val="Fill-in"/>
        </w:rPr>
        <w:t xml:space="preserve">[System owner]</w:t>
      </w:r>
      <w:r>
        <w:t xml:space="preserve"> </w:t>
      </w:r>
      <w:r>
        <w:t xml:space="preserve">shall protect wireless access to the system using authentication of</w:t>
      </w:r>
      <w:r>
        <w:t xml:space="preserve"> </w:t>
      </w:r>
      <w:r>
        <w:rPr>
          <w:rStyle w:val="Fill-in"/>
        </w:rPr>
        <w:t xml:space="preserve">[Select one or more: users; devices. Typical: users and devices]</w:t>
      </w:r>
      <w:r>
        <w:t xml:space="preserve"> </w:t>
      </w:r>
      <w:r>
        <w:t xml:space="preserve">and encryption. (AC-18(1))</w:t>
      </w:r>
    </w:p>
    <w:bookmarkEnd w:id="56"/>
    <w:bookmarkStart w:id="57" w:name="disable-wireless-networking-ac-183"/>
    <w:p>
      <w:pPr>
        <w:pStyle w:val="Heading3"/>
      </w:pPr>
      <w:r>
        <w:t xml:space="preserve">Disable wireless networking (AC-18(3))</w:t>
      </w:r>
    </w:p>
    <w:p>
      <w:pPr>
        <w:pStyle w:val="Compact"/>
        <w:numPr>
          <w:ilvl w:val="0"/>
          <w:numId w:val="1035"/>
        </w:numPr>
      </w:pPr>
      <w:r>
        <w:t xml:space="preserve">The</w:t>
      </w:r>
      <w:r>
        <w:t xml:space="preserve"> </w:t>
      </w:r>
      <w:r>
        <w:rPr>
          <w:rStyle w:val="Fill-in"/>
        </w:rPr>
        <w:t xml:space="preserve">[System owner]</w:t>
      </w:r>
      <w:r>
        <w:t xml:space="preserve"> </w:t>
      </w:r>
      <w:r>
        <w:t xml:space="preserve">shall ensure wireless networking capabilities embedded in system components are disabled before issuance and deployment when not intended for use. (AC-18(3))</w:t>
      </w:r>
    </w:p>
    <w:bookmarkEnd w:id="57"/>
    <w:bookmarkStart w:id="58" w:name="access-control-for-mobile-devices-ac-19"/>
    <w:p>
      <w:pPr>
        <w:pStyle w:val="Heading3"/>
      </w:pPr>
      <w:r>
        <w:t xml:space="preserve">Access control for mobile devices (AC-19)</w:t>
      </w:r>
    </w:p>
    <w:p>
      <w:pPr>
        <w:pStyle w:val="Compact"/>
        <w:numPr>
          <w:ilvl w:val="0"/>
          <w:numId w:val="1036"/>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36"/>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58"/>
    <w:bookmarkStart w:id="59" w:name="X5ad2dbd70a38ca034168fcb15a1c94f93339806"/>
    <w:p>
      <w:pPr>
        <w:pStyle w:val="Heading3"/>
      </w:pPr>
      <w:r>
        <w:t xml:space="preserve">Full device or container-based encryption (AC-19(5))</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require</w:t>
      </w:r>
      <w:r>
        <w:t xml:space="preserve"> </w:t>
      </w:r>
      <w:r>
        <w:rPr>
          <w:rStyle w:val="Fill-in"/>
        </w:rPr>
        <w:t xml:space="preserve">[Select one: full-device encryption; container-based encryption. Typical: full-device encryption]</w:t>
      </w:r>
      <w:r>
        <w:t xml:space="preserve"> </w:t>
      </w:r>
      <w:r>
        <w:t xml:space="preserve">to protect the confidentiality and integrity of information on</w:t>
      </w:r>
      <w:r>
        <w:t xml:space="preserve"> </w:t>
      </w:r>
      <w:r>
        <w:rPr>
          <w:rStyle w:val="Fill-in"/>
        </w:rPr>
        <w:t xml:space="preserve">[Fill in: mobile devices on which to employ encryption. Typical: all organization-controlled mobile devices]</w:t>
      </w:r>
      <w:r>
        <w:t xml:space="preserve">. (AC-19(5))</w:t>
      </w:r>
    </w:p>
    <w:bookmarkEnd w:id="59"/>
    <w:bookmarkStart w:id="60" w:name="use-of-external-systems-ac-20"/>
    <w:p>
      <w:pPr>
        <w:pStyle w:val="Heading3"/>
      </w:pPr>
      <w:r>
        <w:t xml:space="preserve">Use of external systems (AC-20)</w:t>
      </w:r>
    </w:p>
    <w:p>
      <w:pPr>
        <w:pStyle w:val="Compact"/>
        <w:numPr>
          <w:ilvl w:val="0"/>
          <w:numId w:val="1038"/>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38"/>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60"/>
    <w:bookmarkStart w:id="61" w:name="limits-on-authorized-use-ac-201"/>
    <w:p>
      <w:pPr>
        <w:pStyle w:val="Heading3"/>
      </w:pPr>
      <w:r>
        <w:t xml:space="preserve">Limits on authorized use (AC-20(1))</w:t>
      </w:r>
    </w:p>
    <w:p>
      <w:pPr>
        <w:pStyle w:val="Compact"/>
        <w:numPr>
          <w:ilvl w:val="0"/>
          <w:numId w:val="1039"/>
        </w:numPr>
      </w:pPr>
      <w:r>
        <w:t xml:space="preserve">The</w:t>
      </w:r>
      <w:r>
        <w:t xml:space="preserve"> </w:t>
      </w:r>
      <w:r>
        <w:rPr>
          <w:rStyle w:val="Fill-in"/>
        </w:rPr>
        <w:t xml:space="preserve">[System owner]</w:t>
      </w:r>
      <w:r>
        <w:t xml:space="preserve"> </w:t>
      </w:r>
      <w:r>
        <w:t xml:space="preserve">shall permit authorized individuals to use an external system to access the system, or to process, store or transmit organization-controlled information, only after the controls on the external system are verified against the organization’s policies and plans, or an approved connection or processing agreement is in place with its owner. (AC-20(1))</w:t>
      </w:r>
    </w:p>
    <w:bookmarkEnd w:id="61"/>
    <w:bookmarkStart w:id="62" w:name="X829de09aaf987221c1adc04d372ad6f2fa8afb0"/>
    <w:p>
      <w:pPr>
        <w:pStyle w:val="Heading3"/>
      </w:pPr>
      <w:r>
        <w:t xml:space="preserve">Portable storage devices: restricted use (AC-20(2))</w:t>
      </w:r>
    </w:p>
    <w:p>
      <w:pPr>
        <w:pStyle w:val="Compact"/>
        <w:numPr>
          <w:ilvl w:val="0"/>
          <w:numId w:val="1040"/>
        </w:numPr>
      </w:pPr>
      <w:r>
        <w:t xml:space="preserve">Authorized individuals shall use organization-controlled portable storage devices on external systems only under</w:t>
      </w:r>
      <w:r>
        <w:t xml:space="preserve"> </w:t>
      </w:r>
      <w:r>
        <w:rPr>
          <w:rStyle w:val="Fill-in"/>
        </w:rPr>
        <w:t xml:space="preserve">[Fill in: restrictions on the use of organization-controlled portable storage devices by authorized individuals on external systems. Typical: use only of encrypted, organization-issued devices, and only for approved business purposes]</w:t>
      </w:r>
      <w:r>
        <w:t xml:space="preserve">. (AC-20(2))</w:t>
      </w:r>
    </w:p>
    <w:bookmarkEnd w:id="62"/>
    <w:bookmarkStart w:id="63" w:name="information-sharing-ac-21"/>
    <w:p>
      <w:pPr>
        <w:pStyle w:val="Heading3"/>
      </w:pPr>
      <w:r>
        <w:t xml:space="preserve">Information sharing (AC-21)</w:t>
      </w:r>
    </w:p>
    <w:p>
      <w:pPr>
        <w:pStyle w:val="Compact"/>
        <w:numPr>
          <w:ilvl w:val="0"/>
          <w:numId w:val="1041"/>
        </w:numPr>
      </w:pPr>
      <w:r>
        <w:t xml:space="preserve">The</w:t>
      </w:r>
      <w:r>
        <w:t xml:space="preserve"> </w:t>
      </w:r>
      <w:r>
        <w:rPr>
          <w:rStyle w:val="Fill-in"/>
        </w:rPr>
        <w:t xml:space="preserve">[System owner]</w:t>
      </w:r>
      <w:r>
        <w:t xml:space="preserve"> </w:t>
      </w:r>
      <w:r>
        <w:t xml:space="preserve">shall enable authorized users to determine whether the access authorizations of a sharing partner match the information’s access and use restrictions for</w:t>
      </w:r>
      <w:r>
        <w:t xml:space="preserve"> </w:t>
      </w:r>
      <w:r>
        <w:rPr>
          <w:rStyle w:val="Fill-in"/>
        </w:rPr>
        <w:t xml:space="preserve">[Fill in: information-sharing circumstances where user discretion is required to determine whether access authorizations assigned to a sharing partner match the information’s access and use restrictions. Typical: sharing sensitive or contract-restricted information with partners outside the organization]</w:t>
      </w:r>
      <w:r>
        <w:t xml:space="preserve">. (AC-21a)</w:t>
      </w:r>
    </w:p>
    <w:p>
      <w:pPr>
        <w:pStyle w:val="Compact"/>
        <w:numPr>
          <w:ilvl w:val="0"/>
          <w:numId w:val="1041"/>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automated mechanisms or manual processes that assist users in making information-sharing and collaboration decisions. Typical: information labels and a data-sharing checklist]</w:t>
      </w:r>
      <w:r>
        <w:t xml:space="preserve"> </w:t>
      </w:r>
      <w:r>
        <w:t xml:space="preserve">to assist users in making information sharing and collaboration decisions. (AC-21b)</w:t>
      </w:r>
    </w:p>
    <w:bookmarkEnd w:id="63"/>
    <w:bookmarkStart w:id="64" w:name="publicly-accessible-content-ac-22"/>
    <w:p>
      <w:pPr>
        <w:pStyle w:val="Heading3"/>
      </w:pPr>
      <w:r>
        <w:t xml:space="preserve">Publicly accessible content (AC-22)</w:t>
      </w:r>
    </w:p>
    <w:p>
      <w:pPr>
        <w:pStyle w:val="Compact"/>
        <w:numPr>
          <w:ilvl w:val="0"/>
          <w:numId w:val="1042"/>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42"/>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42"/>
        </w:numPr>
      </w:pPr>
      <w:r>
        <w:t xml:space="preserve">The designated individuals shall review proposed content for nonpublic information before posting it on the publicly accessible system. (AC-22c)</w:t>
      </w:r>
    </w:p>
    <w:p>
      <w:pPr>
        <w:pStyle w:val="Compact"/>
        <w:numPr>
          <w:ilvl w:val="0"/>
          <w:numId w:val="1042"/>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42"/>
        </w:numPr>
      </w:pPr>
      <w:r>
        <w:t xml:space="preserve">The designated individuals shall remove nonpublic information when a review discovers it. (AC-22d)</w:t>
      </w:r>
    </w:p>
    <w:bookmarkEnd w:id="64"/>
    <w:bookmarkEnd w:id="65"/>
    <w:bookmarkStart w:id="69" w:name="review-and-update"/>
    <w:p>
      <w:pPr>
        <w:pStyle w:val="Heading2"/>
      </w:pPr>
      <w:r>
        <w:t xml:space="preserve">Review and update</w:t>
      </w:r>
    </w:p>
    <w:p>
      <w:pPr>
        <w:pStyle w:val="Compact"/>
        <w:numPr>
          <w:ilvl w:val="0"/>
          <w:numId w:val="104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access control policy is reviewed and updated. Typical: annually]</w:t>
      </w:r>
      <w:r>
        <w:t xml:space="preserve"> </w:t>
      </w:r>
      <w:r>
        <w:t xml:space="preserve">and following</w:t>
      </w:r>
      <w:r>
        <w:t xml:space="preserve"> </w:t>
      </w:r>
      <w:r>
        <w:rPr>
          <w:rStyle w:val="Fill-in"/>
        </w:rPr>
        <w:t xml:space="preserve">[Fill in: events that would require the current access control policy to be reviewed and updated. Typical: assessment or audit findings, security incidents or breaches, and changes in applicable laws, executive orders, directives, regulations, policies, standards or guidelines]</w:t>
      </w:r>
      <w:r>
        <w:t xml:space="preserve">. (AC-1c.1)</w:t>
      </w:r>
    </w:p>
    <w:p>
      <w:pPr>
        <w:pStyle w:val="Compact"/>
        <w:numPr>
          <w:ilvl w:val="0"/>
          <w:numId w:val="104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access control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(AC-1c.2)</w:t>
      </w:r>
    </w:p>
    <w:bookmarkStart w:id="68"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66">
        <w:r>
          <w:rPr>
            <w:rStyle w:val="Hyperlink"/>
          </w:rPr>
          <w:t xml:space="preserve">44 U.S.C. § 3554</w:t>
        </w:r>
      </w:hyperlink>
      <w:r>
        <w:t xml:space="preserve">, Federal agency responsibilities) and</w:t>
      </w:r>
      <w:r>
        <w:t xml:space="preserve"> </w:t>
      </w:r>
      <w:hyperlink r:id="rId67">
        <w:r>
          <w:rPr>
            <w:rStyle w:val="Hyperlink"/>
          </w:rPr>
          <w:t xml:space="preserve">OMB Circular A-130</w:t>
        </w:r>
      </w:hyperlink>
      <w:r>
        <w:t xml:space="preserve">, Appendix I, Responsibilities for Protecting and Managing Federal Information Resources.</w:t>
      </w:r>
    </w:p>
    <w:p>
      <w:pPr>
        <w:pStyle w:val="Compact"/>
        <w:numPr>
          <w:ilvl w:val="0"/>
          <w:numId w:val="1044"/>
        </w:numPr>
      </w:pPr>
      <w:r>
        <w:t xml:space="preserve">Where the agency’s organization-wide policy sets a value for a parameter in this policy, each system shall use that value or a stricter one. (AC-1a.1(b))</w:t>
      </w:r>
    </w:p>
    <w:bookmarkEnd w:id="68"/>
    <w:bookmarkEnd w:id="69"/>
    <w:bookmarkEnd w:id="7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Access Control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42" Target="https://kston83.github.io/nist-guide/controls/ac/ac-8/" TargetMode="External" /><Relationship Type="http://schemas.openxmlformats.org/officeDocument/2006/relationships/hyperlink" Id="rId21" Target="https://kston83.github.io/nist-guide/templates/forms/access-request-form/" TargetMode="External" /><Relationship Type="http://schemas.openxmlformats.org/officeDocument/2006/relationships/hyperlink" Id="rId22" Target="https://kston83.github.io/nist-guide/templates/forms/access-review-record/" TargetMode="External" /><Relationship Type="http://schemas.openxmlformats.org/officeDocument/2006/relationships/hyperlink" Id="rId19" Target="https://kston83.github.io/nist-guide/templates/forms/onboarding-transfer-and-termination-checklist/" TargetMode="External" /><Relationship Type="http://schemas.openxmlformats.org/officeDocument/2006/relationships/hyperlink" Id="rId9" Target="https://kston83.github.io/nist-guide/templates/policies/ac/" TargetMode="External" /><Relationship Type="http://schemas.openxmlformats.org/officeDocument/2006/relationships/hyperlink" Id="rId20" Target="https://kston83.github.io/nist-guide/templates/procedures/account-management-procedure/" TargetMode="External" /><Relationship Type="http://schemas.openxmlformats.org/officeDocument/2006/relationships/hyperlink" Id="rId31" Target="https://kston83.github.io/nist-guide/templates/standards/boundary-protection-standard/" TargetMode="External" /><Relationship Type="http://schemas.openxmlformats.org/officeDocument/2006/relationships/hyperlink" Id="rId49" Target="https://kston83.github.io/nist-guide/templates/standards/remote-access-standard/" TargetMode="External" /><Relationship Type="http://schemas.openxmlformats.org/officeDocument/2006/relationships/hyperlink" Id="rId66" Target="https://uscode.house.gov/view.xhtml?req=granuleid:USC-prelim-title44-section3554&amp;num=0&amp;edition=prelim" TargetMode="External" /><Relationship Type="http://schemas.openxmlformats.org/officeDocument/2006/relationships/hyperlink" Id="rId67"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42" Target="https://kston83.github.io/nist-guide/controls/ac/ac-8/" TargetMode="External" /><Relationship Type="http://schemas.openxmlformats.org/officeDocument/2006/relationships/hyperlink" Id="rId21" Target="https://kston83.github.io/nist-guide/templates/forms/access-request-form/" TargetMode="External" /><Relationship Type="http://schemas.openxmlformats.org/officeDocument/2006/relationships/hyperlink" Id="rId22" Target="https://kston83.github.io/nist-guide/templates/forms/access-review-record/" TargetMode="External" /><Relationship Type="http://schemas.openxmlformats.org/officeDocument/2006/relationships/hyperlink" Id="rId19" Target="https://kston83.github.io/nist-guide/templates/forms/onboarding-transfer-and-termination-checklist/" TargetMode="External" /><Relationship Type="http://schemas.openxmlformats.org/officeDocument/2006/relationships/hyperlink" Id="rId9" Target="https://kston83.github.io/nist-guide/templates/policies/ac/" TargetMode="External" /><Relationship Type="http://schemas.openxmlformats.org/officeDocument/2006/relationships/hyperlink" Id="rId20" Target="https://kston83.github.io/nist-guide/templates/procedures/account-management-procedure/" TargetMode="External" /><Relationship Type="http://schemas.openxmlformats.org/officeDocument/2006/relationships/hyperlink" Id="rId31" Target="https://kston83.github.io/nist-guide/templates/standards/boundary-protection-standard/" TargetMode="External" /><Relationship Type="http://schemas.openxmlformats.org/officeDocument/2006/relationships/hyperlink" Id="rId49" Target="https://kston83.github.io/nist-guide/templates/standards/remote-access-standard/" TargetMode="External" /><Relationship Type="http://schemas.openxmlformats.org/officeDocument/2006/relationships/hyperlink" Id="rId66" Target="https://uscode.house.gov/view.xhtml?req=granuleid:USC-prelim-title44-section3554&amp;num=0&amp;edition=prelim" TargetMode="External" /><Relationship Type="http://schemas.openxmlformats.org/officeDocument/2006/relationships/hyperlink" Id="rId67"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