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access-control-policy"/>
    <w:p>
      <w:pPr>
        <w:pStyle w:val="Heading1"/>
      </w:pPr>
      <w:r>
        <w:t xml:space="preserve">Access Control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https://kston83.github.io/nist-guide/templates/policies/ac/</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Access Control, and who is accountable for meeting those requirements. (AC-1a.1(a))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(AC-1a.1(a))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(AC-1a.1(a))</w:t>
      </w:r>
    </w:p>
    <w:p>
      <w:pPr>
        <w:pStyle w:val="Compact"/>
        <w:numPr>
          <w:ilvl w:val="0"/>
          <w:numId w:val="1001"/>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manage the development, documentation and dissemination of this policy and its procedures. (AC-1b)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(AC-1a.1(a))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(AC-1a.1(a))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(AC-1a.1(a))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(AC-1a.1(a))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(AC-1a.1(b))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(AC-1a.1(a))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(AC-1a.1(a))</w:t>
      </w:r>
    </w:p>
    <w:p>
      <w:pPr>
        <w:pStyle w:val="Compact"/>
        <w:numPr>
          <w:ilvl w:val="0"/>
          <w:numId w:val="1002"/>
        </w:numPr>
      </w:pPr>
      <w:r>
        <w:t xml:space="preserve">Violations of this policy shall be handled through the organization’s sanctions process. (AC-1a.1(a))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ensure that documented procedures exist to implement this policy and its associated controls. (AC-1a.2)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access control policy is to be disseminated. Typical: everyone within its scope, through the policy library]</w:t>
      </w:r>
      <w:r>
        <w:t xml:space="preserve">. (AC-1a)</w:t>
      </w:r>
    </w:p>
    <w:p>
      <w:pPr>
        <w:pStyle w:val="Compact"/>
        <w:numPr>
          <w:ilvl w:val="0"/>
          <w:numId w:val="1003"/>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access control procedures are to be disseminated. Typical: the people who carry them out, and the system owners]</w:t>
      </w:r>
      <w:r>
        <w:t xml:space="preserve">. (AC-1a)</w:t>
      </w:r>
    </w:p>
    <w:bookmarkEnd w:id="18"/>
    <w:bookmarkStart w:id="22" w:name="policy-statements"/>
    <w:p>
      <w:pPr>
        <w:pStyle w:val="Heading2"/>
      </w:pPr>
      <w:r>
        <w:t xml:space="preserve">Policy statements</w:t>
      </w:r>
    </w:p>
    <w:bookmarkStart w:id="21" w:name="individual-access-ac-314"/>
    <w:p>
      <w:pPr>
        <w:pStyle w:val="Heading3"/>
      </w:pPr>
      <w:r>
        <w:t xml:space="preserve">Individual access (AC-3(14))</w:t>
      </w:r>
    </w:p>
    <w:p>
      <w:pPr>
        <w:pStyle w:val="Compact"/>
        <w:numPr>
          <w:ilvl w:val="0"/>
          <w:numId w:val="1004"/>
        </w:numPr>
      </w:pPr>
      <w:r>
        <w:t xml:space="preserve">For a system that processes personally identifiable information, the</w:t>
      </w:r>
      <w:r>
        <w:t xml:space="preserve"> </w:t>
      </w:r>
      <w:r>
        <w:rPr>
          <w:rStyle w:val="Fill-in"/>
        </w:rPr>
        <w:t xml:space="preserve">[System owner]</w:t>
      </w:r>
      <w:r>
        <w:t xml:space="preserve"> </w:t>
      </w:r>
      <w:r>
        <w:t xml:space="preserve">shall provide</w:t>
      </w:r>
      <w:r>
        <w:t xml:space="preserve"> </w:t>
      </w:r>
      <w:r>
        <w:rPr>
          <w:rStyle w:val="Fill-in"/>
        </w:rPr>
        <w:t xml:space="preserve">[Fill in: mechanisms enabling individuals to have access to elements of their personally identifiable information. Typical: a request process described in the privacy notice, with identity verification before any information is released, and a self-service page where the system offers one]</w:t>
      </w:r>
      <w:r>
        <w:t xml:space="preserve"> </w:t>
      </w:r>
      <w:r>
        <w:t xml:space="preserve">to enable individuals to have access to the following elements of their personally identifiable information:</w:t>
      </w:r>
      <w:r>
        <w:t xml:space="preserve"> </w:t>
      </w:r>
      <w:r>
        <w:rPr>
          <w:rStyle w:val="Fill-in"/>
        </w:rPr>
        <w:t xml:space="preserve">[Fill in: elements of personally identifiable information to which individuals have access. Typical: all personally identifiable information about the individual that the system holds, except elements a law, regulation or legal hold exempts from access, as the senior privacy official and legal counsel determine]</w:t>
      </w:r>
      <w:r>
        <w:t xml:space="preserve">. (AC-3(14))</w:t>
      </w:r>
    </w:p>
    <w:p>
      <w:pPr>
        <w:pStyle w:val="Compact"/>
        <w:numPr>
          <w:ilvl w:val="0"/>
          <w:numId w:val="1004"/>
        </w:numPr>
      </w:pPr>
      <w:r>
        <w:t xml:space="preserve">The</w:t>
      </w:r>
      <w:r>
        <w:t xml:space="preserve"> </w:t>
      </w:r>
      <w:r>
        <w:rPr>
          <w:rStyle w:val="Fill-in"/>
        </w:rPr>
        <w:t xml:space="preserve">[Senior privacy official]</w:t>
      </w:r>
      <w:r>
        <w:t xml:space="preserve">, with legal counsel, shall approve the access mechanisms and any limits on the elements available, and the</w:t>
      </w:r>
      <w:r>
        <w:t xml:space="preserve"> </w:t>
      </w:r>
      <w:r>
        <w:rPr>
          <w:rStyle w:val="Fill-in"/>
        </w:rPr>
        <w:t xml:space="preserve">[System owner]</w:t>
      </w:r>
      <w:r>
        <w:t xml:space="preserve"> </w:t>
      </w:r>
      <w:r>
        <w:t xml:space="preserve">shall record them in the privacy impact assessment. (AC-3(14))</w:t>
      </w:r>
    </w:p>
    <w:p>
      <w:pPr>
        <w:pStyle w:val="Compact"/>
        <w:numPr>
          <w:ilvl w:val="0"/>
          <w:numId w:val="1004"/>
        </w:numPr>
      </w:pPr>
      <w:r>
        <w:t xml:space="preserve">The</w:t>
      </w:r>
      <w:r>
        <w:t xml:space="preserve"> </w:t>
      </w:r>
      <w:r>
        <w:rPr>
          <w:rStyle w:val="Fill-in"/>
        </w:rPr>
        <w:t xml:space="preserve">[System owner]</w:t>
      </w:r>
      <w:r>
        <w:t xml:space="preserve"> </w:t>
      </w:r>
      <w:r>
        <w:t xml:space="preserve">shall ensure the identity of each requester, or the authority of their designated representative, is verified at an assurance level suited to the sensitivity of the information before any information is released. (AC-3(14))</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ensure each access request is answered, and that a refusal or a partial release is given in writing with the reason and how to appeal. (AC-3(14))</w:t>
      </w:r>
    </w:p>
    <w:bookmarkStart w:id="20" w:name="federal-systems"/>
    <w:p>
      <w:pPr>
        <w:pStyle w:val="Heading4"/>
      </w:pPr>
      <w:r>
        <w:t xml:space="preserve">Federal systems</w:t>
      </w:r>
    </w:p>
    <w:p>
      <w:pPr>
        <w:pStyle w:val="FirstParagraph"/>
      </w:pPr>
      <w:r>
        <w:t xml:space="preserve">The Privacy Act requires each agency that maintains a system of records, upon request by any individual to gain access to their record or to any information about them in the system, to permit the individual, and upon request a person of their own choosing to accompany them, to review the record and have a copy made of all or any portion of it in a form comprehensible to them; the agency may require a written statement authorizing discussion of the record in the accompanying person’s presence (</w:t>
      </w:r>
      <w:hyperlink r:id="rId19">
        <w:r>
          <w:rPr>
            <w:rStyle w:val="Hyperlink"/>
          </w:rPr>
          <w:t xml:space="preserve">5 U.S.C. § 552a(d)(1)</w:t>
        </w:r>
      </w:hyperlink>
      <w:r>
        <w:t xml:space="preserve">). Each system of records notice must describe the agency procedures by which an individual can learn how to gain access to a record about them and how to contest its content (§ 552a(e)(4)(H)). The agency’s Privacy Act rules must establish procedures for notifying individuals whether a system of records contains a record about them, define reasonable times, places and requirements for identifying requesters, establish procedures for disclosure to individuals, and set any fees for copies, excluding the cost of search and review (§ 552a(f)). Nothing in the section allows access to information compiled in reasonable anticipation of a civil action or proceeding (§ 552a(d)(5)), and subsections (j) and (k) let an agency exempt some systems of records from the access provisions by rule. Text checked in the United States Code, 2024 edition, as of October 2026.</w:t>
      </w:r>
    </w:p>
    <w:p>
      <w:pPr>
        <w:pStyle w:val="Compact"/>
        <w:numPr>
          <w:ilvl w:val="0"/>
          <w:numId w:val="1005"/>
        </w:numPr>
      </w:pPr>
      <w:r>
        <w:t xml:space="preserve">For each system of records, the</w:t>
      </w:r>
      <w:r>
        <w:t xml:space="preserve"> </w:t>
      </w:r>
      <w:r>
        <w:rPr>
          <w:rStyle w:val="Fill-in"/>
        </w:rPr>
        <w:t xml:space="preserve">[Senior privacy official]</w:t>
      </w:r>
      <w:r>
        <w:t xml:space="preserve"> </w:t>
      </w:r>
      <w:r>
        <w:t xml:space="preserve">shall ensure that individuals can review, and have a copy made of, their records in a form comprehensible to them, accompanied by a person of their choosing on request, as 5 U.S.C. § 552a(d)(1) requires, except for information § 552a(d)(5) excludes and systems the agency has exempted by rule under § 552a(j) or (k). (AC-3(14))</w:t>
      </w:r>
    </w:p>
    <w:p>
      <w:pPr>
        <w:pStyle w:val="Compact"/>
        <w:numPr>
          <w:ilvl w:val="0"/>
          <w:numId w:val="1005"/>
        </w:numPr>
      </w:pPr>
      <w:r>
        <w:t xml:space="preserve">The access mechanisms for each system of records shall follow the agency’s Privacy Act rules under 5 U.S.C. § 552a(f), and its system of records notice shall describe them as § 552a(e)(4)(H) requires. (AC-3(14))</w:t>
      </w:r>
    </w:p>
    <w:bookmarkEnd w:id="20"/>
    <w:bookmarkEnd w:id="21"/>
    <w:bookmarkEnd w:id="22"/>
    <w:bookmarkStart w:id="26" w:name="review-and-update"/>
    <w:p>
      <w:pPr>
        <w:pStyle w:val="Heading2"/>
      </w:pPr>
      <w:r>
        <w:t xml:space="preserve">Review and update</w:t>
      </w:r>
    </w:p>
    <w:p>
      <w:pPr>
        <w:pStyle w:val="Compact"/>
        <w:numPr>
          <w:ilvl w:val="0"/>
          <w:numId w:val="1006"/>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access control policy is reviewed and updated. Typical: annually]</w:t>
      </w:r>
      <w:r>
        <w:t xml:space="preserve"> </w:t>
      </w:r>
      <w:r>
        <w:t xml:space="preserve">and following</w:t>
      </w:r>
      <w:r>
        <w:t xml:space="preserve"> </w:t>
      </w:r>
      <w:r>
        <w:rPr>
          <w:rStyle w:val="Fill-in"/>
        </w:rPr>
        <w:t xml:space="preserve">[Fill in: events that would require the current access control policy to be reviewed and updated. Typical: assessment or audit findings, security incidents or breaches, and changes in applicable laws, executive orders, directives, regulations, policies, standards or guidelines]</w:t>
      </w:r>
      <w:r>
        <w:t xml:space="preserve">. (AC-1c.1)</w:t>
      </w:r>
    </w:p>
    <w:p>
      <w:pPr>
        <w:pStyle w:val="Compact"/>
        <w:numPr>
          <w:ilvl w:val="0"/>
          <w:numId w:val="1006"/>
        </w:numPr>
      </w:pPr>
      <w:r>
        <w:t xml:space="preserve">The</w:t>
      </w:r>
      <w:r>
        <w:t xml:space="preserve"> </w:t>
      </w:r>
      <w:r>
        <w:rPr>
          <w:rStyle w:val="Fill-in"/>
        </w:rPr>
        <w:t xml:space="preserve">[Fill in: an official to manage the access control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access control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(AC-1c.2)</w:t>
      </w:r>
    </w:p>
    <w:bookmarkStart w:id="25"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3">
        <w:r>
          <w:rPr>
            <w:rStyle w:val="Hyperlink"/>
          </w:rPr>
          <w:t xml:space="preserve">44 U.S.C. § 3554</w:t>
        </w:r>
      </w:hyperlink>
      <w:r>
        <w:t xml:space="preserve">, Federal agency responsibilities) and</w:t>
      </w:r>
      <w:r>
        <w:t xml:space="preserve"> </w:t>
      </w:r>
      <w:hyperlink r:id="rId24">
        <w:r>
          <w:rPr>
            <w:rStyle w:val="Hyperlink"/>
          </w:rPr>
          <w:t xml:space="preserve">OMB Circular A-130</w:t>
        </w:r>
      </w:hyperlink>
      <w:r>
        <w:t xml:space="preserve">, Appendix I, Responsibilities for Protecting and Managing Federal Information Resources.</w:t>
      </w:r>
    </w:p>
    <w:p>
      <w:pPr>
        <w:pStyle w:val="Compact"/>
        <w:numPr>
          <w:ilvl w:val="0"/>
          <w:numId w:val="1007"/>
        </w:numPr>
      </w:pPr>
      <w:r>
        <w:t xml:space="preserve">Where the agency’s organization-wide policy sets a value for a parameter in this policy, each system shall use that value or a stricter one. (AC-1a.1(b))</w:t>
      </w:r>
    </w:p>
    <w:bookmarkEnd w:id="25"/>
    <w:bookmarkEnd w:id="26"/>
    <w:bookmarkEnd w:id="2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Access Control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c/" TargetMode="External" /><Relationship Type="http://schemas.openxmlformats.org/officeDocument/2006/relationships/hyperlink" Id="rId23" Target="https://uscode.house.gov/view.xhtml?req=granuleid:USC-prelim-title44-section3554&amp;num=0&amp;edition=prelim" TargetMode="External" /><Relationship Type="http://schemas.openxmlformats.org/officeDocument/2006/relationships/hyperlink" Id="rId19" Target="https://uscode.house.gov/view.xhtml?req=granuleid:USC-prelim-title5-section552a&amp;num=0&amp;edition=prelim" TargetMode="External" /><Relationship Type="http://schemas.openxmlformats.org/officeDocument/2006/relationships/hyperlink" Id="rId24"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c/" TargetMode="External" /><Relationship Type="http://schemas.openxmlformats.org/officeDocument/2006/relationships/hyperlink" Id="rId23" Target="https://uscode.house.gov/view.xhtml?req=granuleid:USC-prelim-title44-section3554&amp;num=0&amp;edition=prelim" TargetMode="External" /><Relationship Type="http://schemas.openxmlformats.org/officeDocument/2006/relationships/hyperlink" Id="rId19" Target="https://uscode.house.gov/view.xhtml?req=granuleid:USC-prelim-title5-section552a&amp;num=0&amp;edition=prelim" TargetMode="External" /><Relationship Type="http://schemas.openxmlformats.org/officeDocument/2006/relationships/hyperlink" Id="rId24"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