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awareness-and-training-policy"/>
    <w:p>
      <w:pPr>
        <w:pStyle w:val="Heading1"/>
      </w:pPr>
      <w:r>
        <w:t xml:space="preserve">Awareness and Training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AT-1,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AT-1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Awareness and Training, and who is accountable for meeting those requirements. (AT-1a.1(a))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(AT-1a.1(a))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(AT-1a.1(a))</w:t>
      </w:r>
    </w:p>
    <w:p>
      <w:pPr>
        <w:pStyle w:val="Compact"/>
        <w:numPr>
          <w:ilvl w:val="0"/>
          <w:numId w:val="1001"/>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manage the development, documentation and dissemination of this policy and its procedures. (AT-1b)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(AT-1a.1(a))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(AT-1a.1(a))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(AT-1a.1(a))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(AT-1a.1(a))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(AT-1a.1(b))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(AT-1a.1(a))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(AT-1a.1(a))</w:t>
      </w:r>
    </w:p>
    <w:p>
      <w:pPr>
        <w:pStyle w:val="Compact"/>
        <w:numPr>
          <w:ilvl w:val="0"/>
          <w:numId w:val="1002"/>
        </w:numPr>
      </w:pPr>
      <w:r>
        <w:t xml:space="preserve">Violations of this policy shall be handled through the organization’s sanctions process. (AT-1a.1(a))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ensure that documented procedures exist to implement this policy and its associated controls. (AT-1a.2)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awareness and training policy is to be disseminated. Typical: everyone within its scope, through the policy library]</w:t>
      </w:r>
      <w:r>
        <w:t xml:space="preserve">. (AT-1a)</w:t>
      </w:r>
    </w:p>
    <w:p>
      <w:pPr>
        <w:pStyle w:val="Compact"/>
        <w:numPr>
          <w:ilvl w:val="0"/>
          <w:numId w:val="1003"/>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awareness and training procedures are to be disseminated. Typical: the people who carry them out, and the system owners]</w:t>
      </w:r>
      <w:r>
        <w:t xml:space="preserve">. (AT-1a)</w:t>
      </w:r>
    </w:p>
    <w:bookmarkEnd w:id="18"/>
    <w:bookmarkStart w:id="35"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4" w:name="literacy-training-and-awareness-at-2"/>
    <w:p>
      <w:pPr>
        <w:pStyle w:val="Heading3"/>
      </w:pPr>
      <w:r>
        <w:t xml:space="preserve">Literacy training and awareness (AT-2)</w:t>
      </w:r>
    </w:p>
    <w:p>
      <w:pPr>
        <w:pStyle w:val="Guidance"/>
      </w:pPr>
      <w:r>
        <w:t xml:space="preserve">Literacy training is the course every user takes; awareness is what keeps the message alive between courses. Assessors compare completion records with account creation dates, so require the initial course before access (AC-2) and track it for employees, contractors and executives alike. The</w:t>
      </w:r>
      <w:r>
        <w:t xml:space="preserve"> </w:t>
      </w:r>
      <w:hyperlink r:id="rId19">
        <w:r>
          <w:rPr>
            <w:rStyle w:val="Hyperlink"/>
          </w:rPr>
          <w:t xml:space="preserve">training plan</w:t>
        </w:r>
      </w:hyperlink>
      <w:r>
        <w:t xml:space="preserve"> </w:t>
      </w:r>
      <w:r>
        <w:t xml:space="preserve">sets out the courses and schedule.</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23" w:name="federal-systems"/>
    <w:p>
      <w:pPr>
        <w:pStyle w:val="Heading4"/>
      </w:pPr>
      <w:r>
        <w:t xml:space="preserve">Federal systems</w:t>
      </w:r>
    </w:p>
    <w:p>
      <w:pPr>
        <w:pStyle w:val="FirstParagraph"/>
      </w:pPr>
      <w:hyperlink r:id="rId20">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21">
        <w:r>
          <w:rPr>
            <w:rStyle w:val="Hyperlink"/>
          </w:rPr>
          <w:t xml:space="preserve">44 U.S.C. § 3554(b)(4)</w:t>
        </w:r>
      </w:hyperlink>
      <w:r>
        <w:t xml:space="preserve"> </w:t>
      </w:r>
      <w:r>
        <w:t xml:space="preserve">requires security awareness training for personnel, including contractors and other users.</w:t>
      </w:r>
      <w:r>
        <w:t xml:space="preserve"> </w:t>
      </w:r>
      <w:hyperlink r:id="rId22">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23"/>
    <w:bookmarkEnd w:id="24"/>
    <w:bookmarkStart w:id="25" w:name="insider-threat-at-22"/>
    <w:p>
      <w:pPr>
        <w:pStyle w:val="Heading3"/>
      </w:pPr>
      <w:r>
        <w:t xml:space="preserve">Insider threat (AT-2(2))</w:t>
      </w:r>
    </w:p>
    <w:p>
      <w:pPr>
        <w:pStyle w:val="Guidance"/>
      </w:pPr>
      <w:r>
        <w:t xml:space="preserve">Teach users what potential insider threat indicators look like, such as attempts to get access beyond one’s job, unexplained removal of information, or ignoring security rules repeatedly, and where to report them. Keep the reporting channel the same one the insider threat program (PM-12) uses.</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25"/>
    <w:bookmarkStart w:id="26" w:name="social-engineering-and-mining-at-23"/>
    <w:p>
      <w:pPr>
        <w:pStyle w:val="Heading3"/>
      </w:pPr>
      <w:r>
        <w:t xml:space="preserve">Social engineering and mining (AT-2(3))</w:t>
      </w:r>
    </w:p>
    <w:p>
      <w:pPr>
        <w:pStyle w:val="Guidance"/>
      </w:pPr>
      <w:r>
        <w:t xml:space="preserve">Social engineering tricks people into giving up information or access, by email, phone, text or in person; social mining gathers information about the organization from public sources and social media to plan an attack. Phishing simulations (AT-2b) are a common way to practice recognizing it.</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and actual instances of social engineering and social mining. (AT-2(3))</w:t>
      </w:r>
    </w:p>
    <w:bookmarkEnd w:id="26"/>
    <w:bookmarkStart w:id="30" w:name="role-based-training-at-3"/>
    <w:p>
      <w:pPr>
        <w:pStyle w:val="Heading3"/>
      </w:pPr>
      <w:r>
        <w:t xml:space="preserve">Role-based training (AT-3)</w:t>
      </w:r>
    </w:p>
    <w:p>
      <w:pPr>
        <w:pStyle w:val="Guidance"/>
      </w:pPr>
      <w:r>
        <w:t xml:space="preserve">Role-based training goes beyond what every user learns: administrators learn secure configuration, developers secure coding, authorizing officials how to weigh risk. List each role and its courses in the</w:t>
      </w:r>
      <w:r>
        <w:t xml:space="preserve"> </w:t>
      </w:r>
      <w:hyperlink r:id="rId19">
        <w:r>
          <w:rPr>
            <w:rStyle w:val="Hyperlink"/>
          </w:rPr>
          <w:t xml:space="preserve">training plan</w:t>
        </w:r>
      </w:hyperlink>
      <w:r>
        <w:t xml:space="preserve">. The NICE Workforce Framework for Cybersecurity (</w:t>
      </w:r>
      <w:hyperlink r:id="rId27">
        <w:r>
          <w:rPr>
            <w:rStyle w:val="Hyperlink"/>
          </w:rPr>
          <w:t xml:space="preserve">SP 800-181 Rev. 1</w:t>
        </w:r>
      </w:hyperlink>
      <w:r>
        <w:t xml:space="preserve">, with its</w:t>
      </w:r>
      <w:r>
        <w:t xml:space="preserve"> </w:t>
      </w:r>
      <w:hyperlink r:id="rId28">
        <w:r>
          <w:rPr>
            <w:rStyle w:val="Hyperlink"/>
          </w:rPr>
          <w:t xml:space="preserve">components</w:t>
        </w:r>
      </w:hyperlink>
      <w:r>
        <w:t xml:space="preserve"> </w:t>
      </w:r>
      <w:r>
        <w:t xml:space="preserve">at v2.2.0 as of September 2026) describes work roles and the knowledge and skills each needs, a useful starting point for the course list. Incident response training is covered by IR-2 and contingency training by CP-3.</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08"/>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08"/>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08"/>
        </w:numPr>
      </w:pPr>
      <w:r>
        <w:t xml:space="preserve">Role-based training shall also be provided when system changes require it. (AT-3a.2)</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29" w:name="federal-systems-1"/>
    <w:p>
      <w:pPr>
        <w:pStyle w:val="Heading4"/>
      </w:pPr>
      <w:r>
        <w:t xml:space="preserve">Federal systems</w:t>
      </w:r>
    </w:p>
    <w:p>
      <w:pPr>
        <w:pStyle w:val="FirstParagraph"/>
      </w:pPr>
      <w:hyperlink r:id="rId20">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22">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09"/>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29"/>
    <w:bookmarkEnd w:id="30"/>
    <w:bookmarkStart w:id="34" w:name="training-records-at-4"/>
    <w:p>
      <w:pPr>
        <w:pStyle w:val="Heading3"/>
      </w:pPr>
      <w:r>
        <w:t xml:space="preserve">Training records (AT-4)</w:t>
      </w:r>
    </w:p>
    <w:p>
      <w:pPr>
        <w:pStyle w:val="Guidance"/>
      </w:pPr>
      <w:r>
        <w:t xml:space="preserve">Keep records in the learning management system where possible, and in the</w:t>
      </w:r>
      <w:r>
        <w:t xml:space="preserve"> </w:t>
      </w:r>
      <w:hyperlink r:id="rId31">
        <w:r>
          <w:rPr>
            <w:rStyle w:val="Hyperlink"/>
          </w:rPr>
          <w:t xml:space="preserve">training record log</w:t>
        </w:r>
      </w:hyperlink>
      <w:r>
        <w:t xml:space="preserve"> </w:t>
      </w:r>
      <w:r>
        <w:t xml:space="preserve">for training given outside it. Monitoring means someone checks the records for overdue training and acts on it, not just that the records exist.</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33" w:name="federal-systems-2"/>
    <w:p>
      <w:pPr>
        <w:pStyle w:val="Heading4"/>
      </w:pPr>
      <w:r>
        <w:t xml:space="preserve">Federal systems</w:t>
      </w:r>
    </w:p>
    <w:p>
      <w:pPr>
        <w:pStyle w:val="FirstParagraph"/>
      </w:pPr>
      <w:r>
        <w:t xml:space="preserve">The NARA</w:t>
      </w:r>
      <w:r>
        <w:t xml:space="preserve"> </w:t>
      </w:r>
      <w:hyperlink r:id="rId32">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33"/>
    <w:bookmarkEnd w:id="34"/>
    <w:bookmarkEnd w:id="35"/>
    <w:bookmarkStart w:id="37" w:name="review-and-update"/>
    <w:p>
      <w:pPr>
        <w:pStyle w:val="Heading2"/>
      </w:pPr>
      <w:r>
        <w:t xml:space="preserve">Review and update</w:t>
      </w:r>
    </w:p>
    <w:p>
      <w:pPr>
        <w:pStyle w:val="Compact"/>
        <w:numPr>
          <w:ilvl w:val="0"/>
          <w:numId w:val="1012"/>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awareness and training policy is reviewed and updated. Typical: annually]</w:t>
      </w:r>
      <w:r>
        <w:t xml:space="preserve"> </w:t>
      </w:r>
      <w:r>
        <w:t xml:space="preserve">and following</w:t>
      </w:r>
      <w:r>
        <w:t xml:space="preserve"> </w:t>
      </w:r>
      <w:r>
        <w:rPr>
          <w:rStyle w:val="Fill-in"/>
        </w:rPr>
        <w:t xml:space="preserve">[Fill in: events that would require the current awareness and training policy to be reviewed and updated. Typical: assessment or audit findings, security incidents or breaches, and changes in applicable laws, executive orders, directives, regulations, policies, standards or guidelines]</w:t>
      </w:r>
      <w:r>
        <w:t xml:space="preserve">. (AT-1c.1)</w:t>
      </w:r>
    </w:p>
    <w:p>
      <w:pPr>
        <w:pStyle w:val="Compact"/>
        <w:numPr>
          <w:ilvl w:val="0"/>
          <w:numId w:val="1012"/>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awareness and training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(AT-1c.2)</w:t>
      </w:r>
    </w:p>
    <w:bookmarkStart w:id="36"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1">
        <w:r>
          <w:rPr>
            <w:rStyle w:val="Hyperlink"/>
          </w:rPr>
          <w:t xml:space="preserve">44 U.S.C. § 3554</w:t>
        </w:r>
      </w:hyperlink>
      <w:r>
        <w:t xml:space="preserve">, Federal agency responsibilities) and</w:t>
      </w:r>
      <w:r>
        <w:t xml:space="preserve"> </w:t>
      </w:r>
      <w:hyperlink r:id="rId22">
        <w:r>
          <w:rPr>
            <w:rStyle w:val="Hyperlink"/>
          </w:rPr>
          <w:t xml:space="preserve">OMB Circular A-130</w:t>
        </w:r>
      </w:hyperlink>
      <w:r>
        <w:t xml:space="preserve">, Appendix I, Responsibilities for Protecting and Managing Federal Information Resources.</w:t>
      </w:r>
    </w:p>
    <w:p>
      <w:pPr>
        <w:pStyle w:val="Compact"/>
        <w:numPr>
          <w:ilvl w:val="0"/>
          <w:numId w:val="1013"/>
        </w:numPr>
      </w:pPr>
      <w:r>
        <w:t xml:space="preserve">Where the agency’s organization-wide policy sets a value for a parameter in this policy, each system shall use that value or a stricter one. (AT-1a.1(b))</w:t>
      </w:r>
    </w:p>
    <w:bookmarkEnd w:id="36"/>
    <w:bookmarkEnd w:id="37"/>
    <w:bookmarkEnd w:id="3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Awareness and Training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7" Target="https://csrc.nist.gov/pubs/sp/800/181/r1/final" TargetMode="External" /><Relationship Type="http://schemas.openxmlformats.org/officeDocument/2006/relationships/hyperlink" Id="rId31" Target="https://kston83.github.io/nist-guide/templates/forms/training-record-log/" TargetMode="External" /><Relationship Type="http://schemas.openxmlformats.org/officeDocument/2006/relationships/hyperlink" Id="rId19" Target="https://kston83.github.io/nist-guide/templates/plans/security-and-privacy-training-plan/" TargetMode="External" /><Relationship Type="http://schemas.openxmlformats.org/officeDocument/2006/relationships/hyperlink" Id="rId9" Target="https://kston83.github.io/nist-guide/templates/policies/at/" TargetMode="External" /><Relationship Type="http://schemas.openxmlformats.org/officeDocument/2006/relationships/hyperlink" Id="rId21" Target="https://uscode.house.gov/view.xhtml?req=granuleid:USC-prelim-title44-section3554&amp;num=0&amp;edition=prelim" TargetMode="External" /><Relationship Type="http://schemas.openxmlformats.org/officeDocument/2006/relationships/hyperlink" Id="rId32" Target="https://www.archives.gov/files/records-mgmt/grs/grs02-6.pdf" TargetMode="External" /><Relationship Type="http://schemas.openxmlformats.org/officeDocument/2006/relationships/hyperlink" Id="rId20" Target="https://www.ecfr.gov/current/title-5/chapter-I/subchapter-B/part-930/subpart-C/section-930.301" TargetMode="External" /><Relationship Type="http://schemas.openxmlformats.org/officeDocument/2006/relationships/hyperlink" Id="rId28" Target="https://www.nist.gov/itl/applied-cybersecurity/nice/nice-framework-resource-center/nice-framework-current-versions" TargetMode="External" /><Relationship Type="http://schemas.openxmlformats.org/officeDocument/2006/relationships/hyperlink" Id="rId2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7" Target="https://csrc.nist.gov/pubs/sp/800/181/r1/final" TargetMode="External" /><Relationship Type="http://schemas.openxmlformats.org/officeDocument/2006/relationships/hyperlink" Id="rId31" Target="https://kston83.github.io/nist-guide/templates/forms/training-record-log/" TargetMode="External" /><Relationship Type="http://schemas.openxmlformats.org/officeDocument/2006/relationships/hyperlink" Id="rId19" Target="https://kston83.github.io/nist-guide/templates/plans/security-and-privacy-training-plan/" TargetMode="External" /><Relationship Type="http://schemas.openxmlformats.org/officeDocument/2006/relationships/hyperlink" Id="rId9" Target="https://kston83.github.io/nist-guide/templates/policies/at/" TargetMode="External" /><Relationship Type="http://schemas.openxmlformats.org/officeDocument/2006/relationships/hyperlink" Id="rId21" Target="https://uscode.house.gov/view.xhtml?req=granuleid:USC-prelim-title44-section3554&amp;num=0&amp;edition=prelim" TargetMode="External" /><Relationship Type="http://schemas.openxmlformats.org/officeDocument/2006/relationships/hyperlink" Id="rId32" Target="https://www.archives.gov/files/records-mgmt/grs/grs02-6.pdf" TargetMode="External" /><Relationship Type="http://schemas.openxmlformats.org/officeDocument/2006/relationships/hyperlink" Id="rId20" Target="https://www.ecfr.gov/current/title-5/chapter-I/subchapter-B/part-930/subpart-C/section-930.301" TargetMode="External" /><Relationship Type="http://schemas.openxmlformats.org/officeDocument/2006/relationships/hyperlink" Id="rId28" Target="https://www.nist.gov/itl/applied-cybersecurity/nice/nice-framework-resource-center/nice-framework-current-versions" TargetMode="External" /><Relationship Type="http://schemas.openxmlformats.org/officeDocument/2006/relationships/hyperlink" Id="rId2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