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34" w:name="awareness-and-training-policy"/>
    <w:p>
      <w:pPr>
        <w:pStyle w:val="Heading1"/>
      </w:pPr>
      <w:r>
        <w:t xml:space="preserve">Awareness and Training Policy</w:t>
      </w:r>
    </w:p>
    <w:p>
      <w:pPr>
        <w:pStyle w:val="FirstParagraph"/>
      </w:pPr>
      <w:r>
        <w:rPr>
          <w:b/>
          <w:bCs/>
        </w:rPr>
        <w:t xml:space="preserve">Template version:</w:t>
      </w:r>
      <w:r>
        <w:t xml:space="preserve"> </w:t>
      </w:r>
      <w:r>
        <w:t xml:space="preserve">1.0.0 ·</w:t>
      </w:r>
      <w:r>
        <w:t xml:space="preserve"> </w:t>
      </w:r>
      <w:r>
        <w:rPr>
          <w:b/>
          <w:bCs/>
        </w:rPr>
        <w:t xml:space="preserve">Baseline:</w:t>
      </w:r>
      <w:r>
        <w:t xml:space="preserve"> </w:t>
      </w:r>
      <w:r>
        <w:t xml:space="preserve">High ·</w:t>
      </w:r>
      <w:r>
        <w:t xml:space="preserve"> </w:t>
      </w:r>
      <w:r>
        <w:rPr>
          <w:b/>
          <w:bCs/>
        </w:rPr>
        <w:t xml:space="preserve">Edition:</w:t>
      </w:r>
      <w:r>
        <w:t xml:space="preserve"> </w:t>
      </w:r>
      <w:r>
        <w:t xml:space="preserve">Ready to adopt ·</w:t>
      </w:r>
      <w:r>
        <w:t xml:space="preserve"> </w:t>
      </w:r>
      <w:r>
        <w:rPr>
          <w:b/>
          <w:bCs/>
        </w:rPr>
        <w:t xml:space="preserve">NIST basis:</w:t>
      </w:r>
      <w:r>
        <w:t xml:space="preserve"> </w:t>
      </w:r>
      <w:r>
        <w:t xml:space="preserve">SP 800-53 Rev. 5, release 5.2.0</w:t>
      </w:r>
    </w:p>
    <w:p>
      <w:pPr>
        <w:pStyle w:val="BodyText"/>
      </w:pPr>
      <w:r>
        <w:rPr>
          <w:i/>
          <w:iCs/>
        </w:rPr>
        <w:t xml:space="preserve">Tailor this template before adoption; it is not legal advice.</w:t>
      </w:r>
      <w:r>
        <w:t xml:space="preserve"> </w:t>
      </w:r>
      <w:r>
        <w:t xml:space="preserve">Latest version:</w:t>
      </w:r>
      <w:r>
        <w:t xml:space="preserve"> </w:t>
      </w:r>
      <w:hyperlink r:id="rId9">
        <w:r>
          <w:rPr>
            <w:rStyle w:val="Hyperlink"/>
          </w:rPr>
          <w:t xml:space="preserve">https://kston83.github.io/nist-guide/templates/policies/at/</w:t>
        </w:r>
      </w:hyperlink>
      <w:r>
        <w:t xml:space="preserve">. Dedicated to the public domain under CC0 1.0 (</w:t>
      </w:r>
      <w:hyperlink r:id="rId10">
        <w:r>
          <w:rPr>
            <w:rStyle w:val="Hyperlink"/>
          </w:rPr>
          <w:t xml:space="preserve">https://creativecommons.org/publicdomain/zero/1.0/</w:t>
        </w:r>
      </w:hyperlink>
      <w:r>
        <w:t xml:space="preserve">): adopt and change it without attribution.</w:t>
      </w:r>
    </w:p>
    <w:bookmarkStart w:id="11" w:name="purpose"/>
    <w:p>
      <w:pPr>
        <w:pStyle w:val="Heading2"/>
      </w:pPr>
      <w:r>
        <w:t xml:space="preserve">Purpose</w:t>
      </w:r>
    </w:p>
    <w:p>
      <w:pPr>
        <w:pStyle w:val="FirstParagraph"/>
      </w:pPr>
      <w:r>
        <w:t xml:space="preserve">This policy states what</w:t>
      </w:r>
      <w:r>
        <w:t xml:space="preserve"> </w:t>
      </w:r>
      <w:r>
        <w:rPr>
          <w:rStyle w:val="Fill-in"/>
        </w:rPr>
        <w:t xml:space="preserve">[Organization name]</w:t>
      </w:r>
      <w:r>
        <w:t xml:space="preserve"> </w:t>
      </w:r>
      <w:r>
        <w:t xml:space="preserve">requires for Awareness and Training, and who is accountable for meeting those requirements. (AT-1a.1(a))</w:t>
      </w:r>
    </w:p>
    <w:bookmarkEnd w:id="11"/>
    <w:bookmarkStart w:id="12" w:name="scope"/>
    <w:p>
      <w:pPr>
        <w:pStyle w:val="Heading2"/>
      </w:pPr>
      <w:r>
        <w:t xml:space="preserve">Scope</w:t>
      </w:r>
    </w:p>
    <w:p>
      <w:pPr>
        <w:pStyle w:val="FirstParagraph"/>
      </w:pPr>
      <w:r>
        <w:t xml:space="preserve">This policy applies at the</w:t>
      </w:r>
      <w:r>
        <w:t xml:space="preserve"> </w:t>
      </w:r>
      <w:r>
        <w:rPr>
          <w:rStyle w:val="Fill-in"/>
        </w:rPr>
        <w:t xml:space="preserve">[Select one or more: organization-level; mission/business process-level; system-level. Typical: organization-level]</w:t>
      </w:r>
      <w:r>
        <w:t xml:space="preserve"> </w:t>
      </w:r>
      <w:r>
        <w:t xml:space="preserve">to every system that</w:t>
      </w:r>
      <w:r>
        <w:t xml:space="preserve"> </w:t>
      </w:r>
      <w:r>
        <w:rPr>
          <w:rStyle w:val="Fill-in"/>
        </w:rPr>
        <w:t xml:space="preserve">[Organization name]</w:t>
      </w:r>
      <w:r>
        <w:t xml:space="preserve"> </w:t>
      </w:r>
      <w:r>
        <w:t xml:space="preserve">owns or operates, or that is operated on its behalf, and to every person with access to those systems, including employees, contractors and partners. (AT-1a.1(a))</w:t>
      </w:r>
    </w:p>
    <w:bookmarkEnd w:id="12"/>
    <w:bookmarkStart w:id="13" w:name="roles-and-responsibilities"/>
    <w:p>
      <w:pPr>
        <w:pStyle w:val="Heading2"/>
      </w:pPr>
      <w:r>
        <w:t xml:space="preserve">Roles and responsibilities</w:t>
      </w:r>
    </w:p>
    <w:p>
      <w:pPr>
        <w:pStyle w:val="Compact"/>
        <w:numPr>
          <w:ilvl w:val="0"/>
          <w:numId w:val="1001"/>
        </w:numPr>
      </w:pPr>
      <w:r>
        <w:t xml:space="preserve">The</w:t>
      </w:r>
      <w:r>
        <w:t xml:space="preserve"> </w:t>
      </w:r>
      <w:r>
        <w:rPr>
          <w:rStyle w:val="Fill-in"/>
        </w:rPr>
        <w:t xml:space="preserve">[Chief Information Security Officer]</w:t>
      </w:r>
      <w:r>
        <w:t xml:space="preserve"> </w:t>
      </w:r>
      <w:r>
        <w:t xml:space="preserve">is accountable for this policy and shall approve exceptions to it. (AT-1a.1(a))</w:t>
      </w:r>
    </w:p>
    <w:p>
      <w:pPr>
        <w:pStyle w:val="Compact"/>
        <w:numPr>
          <w:ilvl w:val="0"/>
          <w:numId w:val="1001"/>
        </w:numPr>
      </w:pPr>
      <w:r>
        <w:t xml:space="preserve">The</w:t>
      </w:r>
      <w:r>
        <w:t xml:space="preserve"> </w:t>
      </w:r>
      <w:r>
        <w:rPr>
          <w:rStyle w:val="Fill-in"/>
        </w:rPr>
        <w:t xml:space="preserve">[Fill in: an official to manage the awareness and training policy and procedures. Typical: Chief Information Security Officer]</w:t>
      </w:r>
      <w:r>
        <w:t xml:space="preserve"> </w:t>
      </w:r>
      <w:r>
        <w:t xml:space="preserve">shall manage the development, documentation and dissemination of this policy and its procedures. (AT-1b)</w:t>
      </w:r>
    </w:p>
    <w:p>
      <w:pPr>
        <w:pStyle w:val="Compact"/>
        <w:numPr>
          <w:ilvl w:val="0"/>
          <w:numId w:val="1001"/>
        </w:numPr>
      </w:pPr>
      <w:r>
        <w:t xml:space="preserve">Each</w:t>
      </w:r>
      <w:r>
        <w:t xml:space="preserve"> </w:t>
      </w:r>
      <w:r>
        <w:rPr>
          <w:rStyle w:val="Fill-in"/>
        </w:rPr>
        <w:t xml:space="preserve">[System owner]</w:t>
      </w:r>
      <w:r>
        <w:t xml:space="preserve"> </w:t>
      </w:r>
      <w:r>
        <w:t xml:space="preserve">shall implement this policy for their system and document how in the system security plan. (AT-1a.1(a))</w:t>
      </w:r>
    </w:p>
    <w:p>
      <w:pPr>
        <w:pStyle w:val="Compact"/>
        <w:numPr>
          <w:ilvl w:val="0"/>
          <w:numId w:val="1001"/>
        </w:numPr>
      </w:pPr>
      <w:r>
        <w:t xml:space="preserve">Each person within scope shall follow this policy and report suspected violations to the</w:t>
      </w:r>
      <w:r>
        <w:t xml:space="preserve"> </w:t>
      </w:r>
      <w:r>
        <w:rPr>
          <w:rStyle w:val="Fill-in"/>
        </w:rPr>
        <w:t xml:space="preserve">[Chief Information Security Officer]</w:t>
      </w:r>
      <w:r>
        <w:t xml:space="preserve">. (AT-1a.1(a))</w:t>
      </w:r>
    </w:p>
    <w:bookmarkEnd w:id="13"/>
    <w:bookmarkStart w:id="14" w:name="management-commitment"/>
    <w:p>
      <w:pPr>
        <w:pStyle w:val="Heading2"/>
      </w:pPr>
      <w:r>
        <w:t xml:space="preserve">Management commitment</w:t>
      </w:r>
    </w:p>
    <w:p>
      <w:pPr>
        <w:pStyle w:val="FirstParagraph"/>
      </w:pPr>
      <w:r>
        <w:t xml:space="preserve">The</w:t>
      </w:r>
      <w:r>
        <w:t xml:space="preserve"> </w:t>
      </w:r>
      <w:r>
        <w:rPr>
          <w:rStyle w:val="Fill-in"/>
        </w:rPr>
        <w:t xml:space="preserve">[Senior leader]</w:t>
      </w:r>
      <w:r>
        <w:t xml:space="preserve"> </w:t>
      </w:r>
      <w:r>
        <w:t xml:space="preserve">approves this policy and shall provide the resources needed to implement it. (AT-1a.1(a))</w:t>
      </w:r>
    </w:p>
    <w:bookmarkEnd w:id="14"/>
    <w:bookmarkStart w:id="15" w:name="coordination"/>
    <w:p>
      <w:pPr>
        <w:pStyle w:val="Heading2"/>
      </w:pPr>
      <w:r>
        <w:t xml:space="preserve">Coordination</w:t>
      </w:r>
    </w:p>
    <w:p>
      <w:pPr>
        <w:pStyle w:val="FirstParagraph"/>
      </w:pPr>
      <w:r>
        <w:t xml:space="preserve">The</w:t>
      </w:r>
      <w:r>
        <w:t xml:space="preserve"> </w:t>
      </w:r>
      <w:r>
        <w:rPr>
          <w:rStyle w:val="Fill-in"/>
        </w:rPr>
        <w:t xml:space="preserve">[Chief Information Security Officer]</w:t>
      </w:r>
      <w:r>
        <w:t xml:space="preserve"> </w:t>
      </w:r>
      <w:r>
        <w:t xml:space="preserve">shall coordinate this policy with the legal, privacy, human resources and procurement functions, and with the owners of related policies, before each approval. (AT-1a.1(a))</w:t>
      </w:r>
    </w:p>
    <w:bookmarkEnd w:id="15"/>
    <w:bookmarkStart w:id="16" w:name="compliance"/>
    <w:p>
      <w:pPr>
        <w:pStyle w:val="Heading2"/>
      </w:pPr>
      <w:r>
        <w:t xml:space="preserve">Compliance</w:t>
      </w:r>
    </w:p>
    <w:p>
      <w:pPr>
        <w:pStyle w:val="Compact"/>
        <w:numPr>
          <w:ilvl w:val="0"/>
          <w:numId w:val="1002"/>
        </w:numPr>
      </w:pPr>
      <w:r>
        <w:t xml:space="preserve">This policy shall be consistent with the laws, executive orders, directives, regulations, policies, standards and guidelines that apply to</w:t>
      </w:r>
      <w:r>
        <w:t xml:space="preserve"> </w:t>
      </w:r>
      <w:r>
        <w:rPr>
          <w:rStyle w:val="Fill-in"/>
        </w:rPr>
        <w:t xml:space="preserve">[Organization name]</w:t>
      </w:r>
      <w:r>
        <w:t xml:space="preserve">, including</w:t>
      </w:r>
      <w:r>
        <w:t xml:space="preserve"> </w:t>
      </w:r>
      <w:r>
        <w:rPr>
          <w:rStyle w:val="Fill-in"/>
        </w:rPr>
        <w:t xml:space="preserve">[Fill in: laws, regulations and standards that apply to the organization]</w:t>
      </w:r>
      <w:r>
        <w:t xml:space="preserve">. (AT-1a.1(b))</w:t>
      </w:r>
    </w:p>
    <w:p>
      <w:pPr>
        <w:pStyle w:val="Compact"/>
        <w:numPr>
          <w:ilvl w:val="0"/>
          <w:numId w:val="1002"/>
        </w:numPr>
      </w:pPr>
      <w:r>
        <w:t xml:space="preserve">The</w:t>
      </w:r>
      <w:r>
        <w:t xml:space="preserve"> </w:t>
      </w:r>
      <w:r>
        <w:rPr>
          <w:rStyle w:val="Fill-in"/>
        </w:rPr>
        <w:t xml:space="preserve">[Chief Information Security Officer]</w:t>
      </w:r>
      <w:r>
        <w:t xml:space="preserve"> </w:t>
      </w:r>
      <w:r>
        <w:t xml:space="preserve">shall review compliance with this policy through the organization’s assessment and continuous monitoring activities. (AT-1a.1(a))</w:t>
      </w:r>
    </w:p>
    <w:p>
      <w:pPr>
        <w:pStyle w:val="Compact"/>
        <w:numPr>
          <w:ilvl w:val="0"/>
          <w:numId w:val="1002"/>
        </w:numPr>
      </w:pPr>
      <w:r>
        <w:t xml:space="preserve">An exception to this policy shall be requested in writing, approved by the</w:t>
      </w:r>
      <w:r>
        <w:t xml:space="preserve"> </w:t>
      </w:r>
      <w:r>
        <w:rPr>
          <w:rStyle w:val="Fill-in"/>
        </w:rPr>
        <w:t xml:space="preserve">[Chief Information Security Officer]</w:t>
      </w:r>
      <w:r>
        <w:t xml:space="preserve">, time-limited and recorded with its compensating measures. (AT-1a.1(a))</w:t>
      </w:r>
    </w:p>
    <w:p>
      <w:pPr>
        <w:pStyle w:val="Compact"/>
        <w:numPr>
          <w:ilvl w:val="0"/>
          <w:numId w:val="1002"/>
        </w:numPr>
      </w:pPr>
      <w:r>
        <w:t xml:space="preserve">Violations of this policy shall be handled through the organization’s sanctions process. (AT-1a.1(a))</w:t>
      </w:r>
    </w:p>
    <w:bookmarkEnd w:id="16"/>
    <w:bookmarkStart w:id="17" w:name="procedures"/>
    <w:p>
      <w:pPr>
        <w:pStyle w:val="Heading2"/>
      </w:pPr>
      <w:r>
        <w:t xml:space="preserve">Procedures</w:t>
      </w:r>
    </w:p>
    <w:p>
      <w:pPr>
        <w:pStyle w:val="FirstParagraph"/>
      </w:pPr>
      <w:r>
        <w:t xml:space="preserve">The</w:t>
      </w:r>
      <w:r>
        <w:t xml:space="preserve"> </w:t>
      </w:r>
      <w:r>
        <w:rPr>
          <w:rStyle w:val="Fill-in"/>
        </w:rPr>
        <w:t xml:space="preserve">[Fill in: an official to manage the awareness and training policy and procedures. Typical: Chief Information Security Officer]</w:t>
      </w:r>
      <w:r>
        <w:t xml:space="preserve"> </w:t>
      </w:r>
      <w:r>
        <w:t xml:space="preserve">shall ensure that documented procedures exist to implement this policy and its associated controls. (AT-1a.2)</w:t>
      </w:r>
    </w:p>
    <w:bookmarkEnd w:id="17"/>
    <w:bookmarkStart w:id="18" w:name="dissemination"/>
    <w:p>
      <w:pPr>
        <w:pStyle w:val="Heading2"/>
      </w:pPr>
      <w:r>
        <w:t xml:space="preserve">Dissemination</w:t>
      </w:r>
    </w:p>
    <w:p>
      <w:pPr>
        <w:pStyle w:val="Compact"/>
        <w:numPr>
          <w:ilvl w:val="0"/>
          <w:numId w:val="1003"/>
        </w:numPr>
      </w:pPr>
      <w:r>
        <w:t xml:space="preserve">The</w:t>
      </w:r>
      <w:r>
        <w:t xml:space="preserve"> </w:t>
      </w:r>
      <w:r>
        <w:rPr>
          <w:rStyle w:val="Fill-in"/>
        </w:rPr>
        <w:t xml:space="preserve">[Fill in: an official to manage the awareness and training policy and procedures. Typical: Chief Information Security Officer]</w:t>
      </w:r>
      <w:r>
        <w:t xml:space="preserve"> </w:t>
      </w:r>
      <w:r>
        <w:t xml:space="preserve">shall disseminate this policy to</w:t>
      </w:r>
      <w:r>
        <w:t xml:space="preserve"> </w:t>
      </w:r>
      <w:r>
        <w:rPr>
          <w:rStyle w:val="Fill-in"/>
        </w:rPr>
        <w:t xml:space="preserve">[Fill in: personnel or roles to whom the awareness and training policy is to be disseminated. Typical: everyone within its scope, through the policy library]</w:t>
      </w:r>
      <w:r>
        <w:t xml:space="preserve">. (AT-1a)</w:t>
      </w:r>
    </w:p>
    <w:p>
      <w:pPr>
        <w:pStyle w:val="Compact"/>
        <w:numPr>
          <w:ilvl w:val="0"/>
          <w:numId w:val="1003"/>
        </w:numPr>
      </w:pPr>
      <w:r>
        <w:t xml:space="preserve">The</w:t>
      </w:r>
      <w:r>
        <w:t xml:space="preserve"> </w:t>
      </w:r>
      <w:r>
        <w:rPr>
          <w:rStyle w:val="Fill-in"/>
        </w:rPr>
        <w:t xml:space="preserve">[Fill in: an official to manage the awareness and training policy and procedures. Typical: Chief Information Security Officer]</w:t>
      </w:r>
      <w:r>
        <w:t xml:space="preserve"> </w:t>
      </w:r>
      <w:r>
        <w:t xml:space="preserve">shall disseminate the procedures that implement this policy to</w:t>
      </w:r>
      <w:r>
        <w:t xml:space="preserve"> </w:t>
      </w:r>
      <w:r>
        <w:rPr>
          <w:rStyle w:val="Fill-in"/>
        </w:rPr>
        <w:t xml:space="preserve">[Fill in: personnel or roles to whom the awareness and training procedures are to be disseminated. Typical: the people who carry them out, and the system owners]</w:t>
      </w:r>
      <w:r>
        <w:t xml:space="preserve">. (AT-1a)</w:t>
      </w:r>
    </w:p>
    <w:bookmarkEnd w:id="18"/>
    <w:bookmarkStart w:id="31" w:name="policy-statements"/>
    <w:p>
      <w:pPr>
        <w:pStyle w:val="Heading2"/>
      </w:pPr>
      <w:r>
        <w:t xml:space="preserve">Policy statements</w:t>
      </w:r>
    </w:p>
    <w:bookmarkStart w:id="23" w:name="literacy-training-and-awareness-at-2"/>
    <w:p>
      <w:pPr>
        <w:pStyle w:val="Heading3"/>
      </w:pPr>
      <w:r>
        <w:t xml:space="preserve">Literacy training and awareness (AT-2)</w:t>
      </w:r>
    </w:p>
    <w:p>
      <w:pPr>
        <w:pStyle w:val="Compact"/>
        <w:numPr>
          <w:ilvl w:val="0"/>
          <w:numId w:val="1004"/>
        </w:numPr>
      </w:pPr>
      <w:r>
        <w:t xml:space="preserve">The</w:t>
      </w:r>
      <w:r>
        <w:t xml:space="preserve"> </w:t>
      </w:r>
      <w:r>
        <w:rPr>
          <w:rStyle w:val="Fill-in"/>
        </w:rPr>
        <w:t xml:space="preserve">[Chief Information Security Officer]</w:t>
      </w:r>
      <w:r>
        <w:t xml:space="preserve"> </w:t>
      </w:r>
      <w:r>
        <w:t xml:space="preserve">shall provide security literacy training to all system users, including managers, senior executives and contractors, as part of initial training before they are given access, and</w:t>
      </w:r>
      <w:r>
        <w:t xml:space="preserve"> </w:t>
      </w:r>
      <w:r>
        <w:rPr>
          <w:rStyle w:val="Fill-in"/>
        </w:rPr>
        <w:t xml:space="preserve">[Fill in: the frequency at which to provide security literacy training to system users (including managers, senior executives, and contractors) after initial training. Typical: annually]</w:t>
      </w:r>
      <w:r>
        <w:t xml:space="preserve"> </w:t>
      </w:r>
      <w:r>
        <w:t xml:space="preserve">thereafter. (AT-2a.1)</w:t>
      </w:r>
    </w:p>
    <w:p>
      <w:pPr>
        <w:pStyle w:val="Compact"/>
        <w:numPr>
          <w:ilvl w:val="0"/>
          <w:numId w:val="1004"/>
        </w:numPr>
      </w:pPr>
      <w:r>
        <w:t xml:space="preserve">The</w:t>
      </w:r>
      <w:r>
        <w:t xml:space="preserve"> </w:t>
      </w:r>
      <w:r>
        <w:rPr>
          <w:rStyle w:val="Fill-in"/>
        </w:rPr>
        <w:t xml:space="preserve">[Senior privacy official]</w:t>
      </w:r>
      <w:r>
        <w:t xml:space="preserve"> </w:t>
      </w:r>
      <w:r>
        <w:t xml:space="preserve">shall provide privacy literacy training to all system users, including managers, senior executives and contractors, as part of initial training before they are given access, and</w:t>
      </w:r>
      <w:r>
        <w:t xml:space="preserve"> </w:t>
      </w:r>
      <w:r>
        <w:rPr>
          <w:rStyle w:val="Fill-in"/>
        </w:rPr>
        <w:t xml:space="preserve">[Fill in: the frequency at which to provide privacy literacy training to system users (including managers, senior executives, and contractors) after initial training. Typical: annually]</w:t>
      </w:r>
      <w:r>
        <w:t xml:space="preserve"> </w:t>
      </w:r>
      <w:r>
        <w:t xml:space="preserve">thereafter. (AT-2a.1)</w:t>
      </w:r>
    </w:p>
    <w:p>
      <w:pPr>
        <w:pStyle w:val="Compact"/>
        <w:numPr>
          <w:ilvl w:val="0"/>
          <w:numId w:val="1004"/>
        </w:numPr>
      </w:pPr>
      <w:r>
        <w:t xml:space="preserve">The</w:t>
      </w:r>
      <w:r>
        <w:t xml:space="preserve"> </w:t>
      </w:r>
      <w:r>
        <w:rPr>
          <w:rStyle w:val="Fill-in"/>
        </w:rPr>
        <w:t xml:space="preserve">[Chief Information Security Officer]</w:t>
      </w:r>
      <w:r>
        <w:t xml:space="preserve"> </w:t>
      </w:r>
      <w:r>
        <w:t xml:space="preserve">shall provide security literacy training when system changes require it, and following</w:t>
      </w:r>
      <w:r>
        <w:t xml:space="preserve"> </w:t>
      </w:r>
      <w:r>
        <w:rPr>
          <w:rStyle w:val="Fill-in"/>
        </w:rPr>
        <w:t xml:space="preserve">[Fill in: events that require security literacy training for system users. Typical: a significant system change, or an incident caused by user error]</w:t>
      </w:r>
      <w:r>
        <w:t xml:space="preserve">. (AT-2a.2)</w:t>
      </w:r>
    </w:p>
    <w:p>
      <w:pPr>
        <w:pStyle w:val="Compact"/>
        <w:numPr>
          <w:ilvl w:val="0"/>
          <w:numId w:val="1004"/>
        </w:numPr>
      </w:pPr>
      <w:r>
        <w:t xml:space="preserve">The</w:t>
      </w:r>
      <w:r>
        <w:t xml:space="preserve"> </w:t>
      </w:r>
      <w:r>
        <w:rPr>
          <w:rStyle w:val="Fill-in"/>
        </w:rPr>
        <w:t xml:space="preserve">[Senior privacy official]</w:t>
      </w:r>
      <w:r>
        <w:t xml:space="preserve"> </w:t>
      </w:r>
      <w:r>
        <w:t xml:space="preserve">shall provide privacy literacy training when system changes require it, and following</w:t>
      </w:r>
      <w:r>
        <w:t xml:space="preserve"> </w:t>
      </w:r>
      <w:r>
        <w:rPr>
          <w:rStyle w:val="Fill-in"/>
        </w:rPr>
        <w:t xml:space="preserve">[Fill in: events that require privacy literacy training for system users. Typical: a significant change in how the organization processes personally identifiable information, or a privacy breach]</w:t>
      </w:r>
      <w:r>
        <w:t xml:space="preserve">. (AT-2a.2)</w:t>
      </w:r>
    </w:p>
    <w:p>
      <w:pPr>
        <w:pStyle w:val="Compact"/>
        <w:numPr>
          <w:ilvl w:val="0"/>
          <w:numId w:val="1004"/>
        </w:numPr>
      </w:pPr>
      <w:r>
        <w:t xml:space="preserve">The</w:t>
      </w:r>
      <w:r>
        <w:t xml:space="preserve"> </w:t>
      </w:r>
      <w:r>
        <w:rPr>
          <w:rStyle w:val="Fill-in"/>
        </w:rPr>
        <w:t xml:space="preserve">[Chief Information Security Officer]</w:t>
      </w:r>
      <w:r>
        <w:t xml:space="preserve"> </w:t>
      </w:r>
      <w:r>
        <w:t xml:space="preserve">shall increase users’ security and privacy awareness through</w:t>
      </w:r>
      <w:r>
        <w:t xml:space="preserve"> </w:t>
      </w:r>
      <w:r>
        <w:rPr>
          <w:rStyle w:val="Fill-in"/>
        </w:rPr>
        <w:t xml:space="preserve">[Fill in: techniques to be employed to increase the security and privacy awareness of system users. Typical: phishing simulations, short awareness messages and posters]</w:t>
      </w:r>
      <w:r>
        <w:t xml:space="preserve">. (AT-2b)</w:t>
      </w:r>
    </w:p>
    <w:p>
      <w:pPr>
        <w:pStyle w:val="Compact"/>
        <w:numPr>
          <w:ilvl w:val="0"/>
          <w:numId w:val="1004"/>
        </w:numPr>
      </w:pPr>
      <w:r>
        <w:t xml:space="preserve">The</w:t>
      </w:r>
      <w:r>
        <w:t xml:space="preserve"> </w:t>
      </w:r>
      <w:r>
        <w:rPr>
          <w:rStyle w:val="Fill-in"/>
        </w:rPr>
        <w:t xml:space="preserve">[Chief Information Security Officer]</w:t>
      </w:r>
      <w:r>
        <w:t xml:space="preserve"> </w:t>
      </w:r>
      <w:r>
        <w:t xml:space="preserve">shall update literacy training and awareness content</w:t>
      </w:r>
      <w:r>
        <w:t xml:space="preserve"> </w:t>
      </w:r>
      <w:r>
        <w:rPr>
          <w:rStyle w:val="Fill-in"/>
        </w:rPr>
        <w:t xml:space="preserve">[Fill in: the frequency at which to update literacy training and awareness content. Typical: annually]</w:t>
      </w:r>
      <w:r>
        <w:t xml:space="preserve"> </w:t>
      </w:r>
      <w:r>
        <w:t xml:space="preserve">and following</w:t>
      </w:r>
      <w:r>
        <w:t xml:space="preserve"> </w:t>
      </w:r>
      <w:r>
        <w:rPr>
          <w:rStyle w:val="Fill-in"/>
        </w:rPr>
        <w:t xml:space="preserve">[Fill in: events that would require literacy training and awareness content to be updated. Typical: a significant incident, or a significant change in threats]</w:t>
      </w:r>
      <w:r>
        <w:t xml:space="preserve">. (AT-2c)</w:t>
      </w:r>
    </w:p>
    <w:p>
      <w:pPr>
        <w:pStyle w:val="Compact"/>
        <w:numPr>
          <w:ilvl w:val="0"/>
          <w:numId w:val="1004"/>
        </w:numPr>
      </w:pPr>
      <w:r>
        <w:t xml:space="preserve">The</w:t>
      </w:r>
      <w:r>
        <w:t xml:space="preserve"> </w:t>
      </w:r>
      <w:r>
        <w:rPr>
          <w:rStyle w:val="Fill-in"/>
        </w:rPr>
        <w:t xml:space="preserve">[Chief Information Security Officer]</w:t>
      </w:r>
      <w:r>
        <w:t xml:space="preserve"> </w:t>
      </w:r>
      <w:r>
        <w:t xml:space="preserve">shall incorporate lessons learned from internal and external security incidents and breaches into literacy training and awareness techniques. (AT-2d)</w:t>
      </w:r>
    </w:p>
    <w:bookmarkStart w:id="22" w:name="federal-systems"/>
    <w:p>
      <w:pPr>
        <w:pStyle w:val="Heading4"/>
      </w:pPr>
      <w:r>
        <w:t xml:space="preserve">Federal systems</w:t>
      </w:r>
    </w:p>
    <w:p>
      <w:pPr>
        <w:pStyle w:val="FirstParagraph"/>
      </w:pPr>
      <w:hyperlink r:id="rId19">
        <w:r>
          <w:rPr>
            <w:rStyle w:val="Hyperlink"/>
          </w:rPr>
          <w:t xml:space="preserve">5 CFR 930.301</w:t>
        </w:r>
      </w:hyperlink>
      <w:r>
        <w:t xml:space="preserve"> </w:t>
      </w:r>
      <w:r>
        <w:t xml:space="preserve">(OPM) requires that all users of federal information systems be exposed to security awareness materials at least annually, and that new employees receive awareness material before they are allowed access.</w:t>
      </w:r>
      <w:r>
        <w:t xml:space="preserve"> </w:t>
      </w:r>
      <w:hyperlink r:id="rId20">
        <w:r>
          <w:rPr>
            <w:rStyle w:val="Hyperlink"/>
          </w:rPr>
          <w:t xml:space="preserve">44 U.S.C. § 3554(b)(4)</w:t>
        </w:r>
      </w:hyperlink>
      <w:r>
        <w:t xml:space="preserve"> </w:t>
      </w:r>
      <w:r>
        <w:t xml:space="preserve">requires security awareness training for personnel, including contractors and other users.</w:t>
      </w:r>
      <w:r>
        <w:t xml:space="preserve"> </w:t>
      </w:r>
      <w:hyperlink r:id="rId21">
        <w:r>
          <w:rPr>
            <w:rStyle w:val="Hyperlink"/>
          </w:rPr>
          <w:t xml:space="preserve">OMB Circular A-130</w:t>
        </w:r>
      </w:hyperlink>
      <w:r>
        <w:t xml:space="preserve"> </w:t>
      </w:r>
      <w:r>
        <w:t xml:space="preserve">(July 28, 2016), Appendix II, section 5.g, requires mandatory agency-wide privacy awareness and training for all employees and contractors. Checked September 2026.</w:t>
      </w:r>
    </w:p>
    <w:p>
      <w:pPr>
        <w:pStyle w:val="Compact"/>
        <w:numPr>
          <w:ilvl w:val="0"/>
          <w:numId w:val="1005"/>
        </w:numPr>
      </w:pPr>
      <w:r>
        <w:t xml:space="preserve">The</w:t>
      </w:r>
      <w:r>
        <w:t xml:space="preserve"> </w:t>
      </w:r>
      <w:r>
        <w:rPr>
          <w:rStyle w:val="Fill-in"/>
        </w:rPr>
        <w:t xml:space="preserve">[Chief Information Security Officer]</w:t>
      </w:r>
      <w:r>
        <w:t xml:space="preserve"> </w:t>
      </w:r>
      <w:r>
        <w:t xml:space="preserve">shall give new employees security awareness material before they are allowed access to federal information systems. (AT-2a.1)</w:t>
      </w:r>
    </w:p>
    <w:p>
      <w:pPr>
        <w:pStyle w:val="Compact"/>
        <w:numPr>
          <w:ilvl w:val="0"/>
          <w:numId w:val="1005"/>
        </w:numPr>
      </w:pPr>
      <w:r>
        <w:t xml:space="preserve">The</w:t>
      </w:r>
      <w:r>
        <w:t xml:space="preserve"> </w:t>
      </w:r>
      <w:r>
        <w:rPr>
          <w:rStyle w:val="Fill-in"/>
        </w:rPr>
        <w:t xml:space="preserve">[Chief Information Security Officer]</w:t>
      </w:r>
      <w:r>
        <w:t xml:space="preserve"> </w:t>
      </w:r>
      <w:r>
        <w:t xml:space="preserve">shall expose every user of federal information systems, including contractors, to security awareness materials at least annually. (AT-2a.1)</w:t>
      </w:r>
    </w:p>
    <w:p>
      <w:pPr>
        <w:pStyle w:val="Compact"/>
        <w:numPr>
          <w:ilvl w:val="0"/>
          <w:numId w:val="1005"/>
        </w:numPr>
      </w:pPr>
      <w:r>
        <w:t xml:space="preserve">The</w:t>
      </w:r>
      <w:r>
        <w:t xml:space="preserve"> </w:t>
      </w:r>
      <w:r>
        <w:rPr>
          <w:rStyle w:val="Fill-in"/>
        </w:rPr>
        <w:t xml:space="preserve">[Senior privacy official]</w:t>
      </w:r>
      <w:r>
        <w:t xml:space="preserve"> </w:t>
      </w:r>
      <w:r>
        <w:t xml:space="preserve">shall maintain mandatory privacy awareness and training for all employees and contractors, as OMB Circular A-130 Appendix II requires. (AT-2a.1)</w:t>
      </w:r>
    </w:p>
    <w:bookmarkEnd w:id="22"/>
    <w:bookmarkEnd w:id="23"/>
    <w:bookmarkStart w:id="24" w:name="insider-threat-at-22"/>
    <w:p>
      <w:pPr>
        <w:pStyle w:val="Heading3"/>
      </w:pPr>
      <w:r>
        <w:t xml:space="preserve">Insider threat (AT-2(2))</w:t>
      </w:r>
    </w:p>
    <w:p>
      <w:pPr>
        <w:pStyle w:val="Compact"/>
        <w:numPr>
          <w:ilvl w:val="0"/>
          <w:numId w:val="1006"/>
        </w:numPr>
      </w:pPr>
      <w:r>
        <w:t xml:space="preserve">The</w:t>
      </w:r>
      <w:r>
        <w:t xml:space="preserve"> </w:t>
      </w:r>
      <w:r>
        <w:rPr>
          <w:rStyle w:val="Fill-in"/>
        </w:rPr>
        <w:t xml:space="preserve">[Chief Information Security Officer]</w:t>
      </w:r>
      <w:r>
        <w:t xml:space="preserve"> </w:t>
      </w:r>
      <w:r>
        <w:t xml:space="preserve">shall include in literacy training how to recognize and report potential indicators of insider threat. (AT-2(2))</w:t>
      </w:r>
    </w:p>
    <w:bookmarkEnd w:id="24"/>
    <w:bookmarkStart w:id="25" w:name="social-engineering-and-mining-at-23"/>
    <w:p>
      <w:pPr>
        <w:pStyle w:val="Heading3"/>
      </w:pPr>
      <w:r>
        <w:t xml:space="preserve">Social engineering and mining (AT-2(3))</w:t>
      </w:r>
    </w:p>
    <w:p>
      <w:pPr>
        <w:pStyle w:val="Compact"/>
        <w:numPr>
          <w:ilvl w:val="0"/>
          <w:numId w:val="1007"/>
        </w:numPr>
      </w:pPr>
      <w:r>
        <w:t xml:space="preserve">The</w:t>
      </w:r>
      <w:r>
        <w:t xml:space="preserve"> </w:t>
      </w:r>
      <w:r>
        <w:rPr>
          <w:rStyle w:val="Fill-in"/>
        </w:rPr>
        <w:t xml:space="preserve">[Chief Information Security Officer]</w:t>
      </w:r>
      <w:r>
        <w:t xml:space="preserve"> </w:t>
      </w:r>
      <w:r>
        <w:t xml:space="preserve">shall include in literacy training how to recognize and report potential and actual instances of social engineering and social mining. (AT-2(3))</w:t>
      </w:r>
    </w:p>
    <w:bookmarkEnd w:id="25"/>
    <w:bookmarkStart w:id="27" w:name="role-based-training-at-3"/>
    <w:p>
      <w:pPr>
        <w:pStyle w:val="Heading3"/>
      </w:pPr>
      <w:r>
        <w:t xml:space="preserve">Role-based training (AT-3)</w:t>
      </w:r>
    </w:p>
    <w:p>
      <w:pPr>
        <w:pStyle w:val="Compact"/>
        <w:numPr>
          <w:ilvl w:val="0"/>
          <w:numId w:val="1008"/>
        </w:numPr>
      </w:pPr>
      <w:r>
        <w:t xml:space="preserve">The</w:t>
      </w:r>
      <w:r>
        <w:t xml:space="preserve"> </w:t>
      </w:r>
      <w:r>
        <w:rPr>
          <w:rStyle w:val="Fill-in"/>
        </w:rPr>
        <w:t xml:space="preserve">[Chief Information Security Officer]</w:t>
      </w:r>
      <w:r>
        <w:t xml:space="preserve"> </w:t>
      </w:r>
      <w:r>
        <w:t xml:space="preserve">shall provide role-based security training to personnel with these roles and responsibilities:</w:t>
      </w:r>
      <w:r>
        <w:t xml:space="preserve"> </w:t>
      </w:r>
      <w:r>
        <w:rPr>
          <w:rStyle w:val="Fill-in"/>
        </w:rPr>
        <w:t xml:space="preserve">[Fill in: roles and responsibilities for role-based security training. Typical: system administrators, developers, security staff, incident responders, system owners and authorizing officials]</w:t>
      </w:r>
      <w:r>
        <w:t xml:space="preserve">. (AT-3a)</w:t>
      </w:r>
    </w:p>
    <w:p>
      <w:pPr>
        <w:pStyle w:val="Compact"/>
        <w:numPr>
          <w:ilvl w:val="0"/>
          <w:numId w:val="1008"/>
        </w:numPr>
      </w:pPr>
      <w:r>
        <w:t xml:space="preserve">The</w:t>
      </w:r>
      <w:r>
        <w:t xml:space="preserve"> </w:t>
      </w:r>
      <w:r>
        <w:rPr>
          <w:rStyle w:val="Fill-in"/>
        </w:rPr>
        <w:t xml:space="preserve">[Senior privacy official]</w:t>
      </w:r>
      <w:r>
        <w:t xml:space="preserve"> </w:t>
      </w:r>
      <w:r>
        <w:t xml:space="preserve">shall provide role-based privacy training to personnel with these roles and responsibilities:</w:t>
      </w:r>
      <w:r>
        <w:t xml:space="preserve"> </w:t>
      </w:r>
      <w:r>
        <w:rPr>
          <w:rStyle w:val="Fill-in"/>
        </w:rPr>
        <w:t xml:space="preserve">[Fill in: roles and responsibilities for role-based privacy training. Typical: staff who handle personally identifiable information as part of their duties, the privacy office, and owners of systems that process it]</w:t>
      </w:r>
      <w:r>
        <w:t xml:space="preserve">. (AT-3a)</w:t>
      </w:r>
    </w:p>
    <w:p>
      <w:pPr>
        <w:pStyle w:val="Compact"/>
        <w:numPr>
          <w:ilvl w:val="0"/>
          <w:numId w:val="1008"/>
        </w:numPr>
      </w:pPr>
      <w:r>
        <w:t xml:space="preserve">Role-based training shall be completed before the person is authorized to access the system or information, or to perform the assigned duties, and</w:t>
      </w:r>
      <w:r>
        <w:t xml:space="preserve"> </w:t>
      </w:r>
      <w:r>
        <w:rPr>
          <w:rStyle w:val="Fill-in"/>
        </w:rPr>
        <w:t xml:space="preserve">[Fill in: the frequency at which to provide role-based security and privacy training to assigned personnel after initial training. Typical: annually]</w:t>
      </w:r>
      <w:r>
        <w:t xml:space="preserve"> </w:t>
      </w:r>
      <w:r>
        <w:t xml:space="preserve">thereafter. (AT-3a.1)</w:t>
      </w:r>
    </w:p>
    <w:p>
      <w:pPr>
        <w:pStyle w:val="Compact"/>
        <w:numPr>
          <w:ilvl w:val="0"/>
          <w:numId w:val="1008"/>
        </w:numPr>
      </w:pPr>
      <w:r>
        <w:t xml:space="preserve">Role-based training shall also be provided when system changes require it. (AT-3a.2)</w:t>
      </w:r>
    </w:p>
    <w:p>
      <w:pPr>
        <w:pStyle w:val="Compact"/>
        <w:numPr>
          <w:ilvl w:val="0"/>
          <w:numId w:val="1008"/>
        </w:numPr>
      </w:pPr>
      <w:r>
        <w:t xml:space="preserve">The</w:t>
      </w:r>
      <w:r>
        <w:t xml:space="preserve"> </w:t>
      </w:r>
      <w:r>
        <w:rPr>
          <w:rStyle w:val="Fill-in"/>
        </w:rPr>
        <w:t xml:space="preserve">[Chief Information Security Officer]</w:t>
      </w:r>
      <w:r>
        <w:t xml:space="preserve"> </w:t>
      </w:r>
      <w:r>
        <w:t xml:space="preserve">and the</w:t>
      </w:r>
      <w:r>
        <w:t xml:space="preserve"> </w:t>
      </w:r>
      <w:r>
        <w:rPr>
          <w:rStyle w:val="Fill-in"/>
        </w:rPr>
        <w:t xml:space="preserve">[Senior privacy official]</w:t>
      </w:r>
      <w:r>
        <w:t xml:space="preserve"> </w:t>
      </w:r>
      <w:r>
        <w:t xml:space="preserve">shall update role-based training content</w:t>
      </w:r>
      <w:r>
        <w:t xml:space="preserve"> </w:t>
      </w:r>
      <w:r>
        <w:rPr>
          <w:rStyle w:val="Fill-in"/>
        </w:rPr>
        <w:t xml:space="preserve">[Fill in: the frequency at which to update role-based training content. Typical: annually]</w:t>
      </w:r>
      <w:r>
        <w:t xml:space="preserve"> </w:t>
      </w:r>
      <w:r>
        <w:t xml:space="preserve">and following</w:t>
      </w:r>
      <w:r>
        <w:t xml:space="preserve"> </w:t>
      </w:r>
      <w:r>
        <w:rPr>
          <w:rStyle w:val="Fill-in"/>
        </w:rPr>
        <w:t xml:space="preserve">[Fill in: events that require role-based training content to be updated. Typical: a significant incident, a change in a role’s tools or duties, or a new legal or policy requirement]</w:t>
      </w:r>
      <w:r>
        <w:t xml:space="preserve">. (AT-3b)</w:t>
      </w:r>
    </w:p>
    <w:p>
      <w:pPr>
        <w:pStyle w:val="Compact"/>
        <w:numPr>
          <w:ilvl w:val="0"/>
          <w:numId w:val="1008"/>
        </w:numPr>
      </w:pPr>
      <w:r>
        <w:t xml:space="preserve">The</w:t>
      </w:r>
      <w:r>
        <w:t xml:space="preserve"> </w:t>
      </w:r>
      <w:r>
        <w:rPr>
          <w:rStyle w:val="Fill-in"/>
        </w:rPr>
        <w:t xml:space="preserve">[Chief Information Security Officer]</w:t>
      </w:r>
      <w:r>
        <w:t xml:space="preserve"> </w:t>
      </w:r>
      <w:r>
        <w:t xml:space="preserve">and the</w:t>
      </w:r>
      <w:r>
        <w:t xml:space="preserve"> </w:t>
      </w:r>
      <w:r>
        <w:rPr>
          <w:rStyle w:val="Fill-in"/>
        </w:rPr>
        <w:t xml:space="preserve">[Senior privacy official]</w:t>
      </w:r>
      <w:r>
        <w:t xml:space="preserve"> </w:t>
      </w:r>
      <w:r>
        <w:t xml:space="preserve">shall incorporate lessons learned from internal and external security incidents and breaches into role-based training. (AT-3c)</w:t>
      </w:r>
    </w:p>
    <w:bookmarkStart w:id="26" w:name="federal-systems-1"/>
    <w:p>
      <w:pPr>
        <w:pStyle w:val="Heading4"/>
      </w:pPr>
      <w:r>
        <w:t xml:space="preserve">Federal systems</w:t>
      </w:r>
    </w:p>
    <w:p>
      <w:pPr>
        <w:pStyle w:val="FirstParagraph"/>
      </w:pPr>
      <w:hyperlink r:id="rId19">
        <w:r>
          <w:rPr>
            <w:rStyle w:val="Hyperlink"/>
          </w:rPr>
          <w:t xml:space="preserve">5 CFR 930.301</w:t>
        </w:r>
      </w:hyperlink>
      <w:r>
        <w:t xml:space="preserve"> </w:t>
      </w:r>
      <w:r>
        <w:t xml:space="preserve">(OPM) requires agencies to identify employees with significant information security responsibilities and give them role-specific training in accordance with NIST standards and guidance; refresher training as often as the agency determines necessary, based on the sensitivity of the information; and training when the system environment or procedures change significantly, or when an employee enters a position that needs more role-specific training.</w:t>
      </w:r>
      <w:r>
        <w:t xml:space="preserve"> </w:t>
      </w:r>
      <w:hyperlink r:id="rId21">
        <w:r>
          <w:rPr>
            <w:rStyle w:val="Hyperlink"/>
          </w:rPr>
          <w:t xml:space="preserve">OMB Circular A-130</w:t>
        </w:r>
      </w:hyperlink>
      <w:r>
        <w:t xml:space="preserve">, Appendix II, section 5.g, requires role-based privacy training, before access or assigned duties, for employees and contractors with privacy roles, including managers. Checked September 2026.</w:t>
      </w:r>
    </w:p>
    <w:p>
      <w:pPr>
        <w:pStyle w:val="Compact"/>
        <w:numPr>
          <w:ilvl w:val="0"/>
          <w:numId w:val="1009"/>
        </w:numPr>
      </w:pPr>
      <w:r>
        <w:t xml:space="preserve">The</w:t>
      </w:r>
      <w:r>
        <w:t xml:space="preserve"> </w:t>
      </w:r>
      <w:r>
        <w:rPr>
          <w:rStyle w:val="Fill-in"/>
        </w:rPr>
        <w:t xml:space="preserve">[Chief Information Security Officer]</w:t>
      </w:r>
      <w:r>
        <w:t xml:space="preserve"> </w:t>
      </w:r>
      <w:r>
        <w:t xml:space="preserve">shall identify employees with significant information security responsibilities and give them role-specific training in accordance with NIST standards and guidance. (AT-3a)</w:t>
      </w:r>
    </w:p>
    <w:p>
      <w:pPr>
        <w:pStyle w:val="Compact"/>
        <w:numPr>
          <w:ilvl w:val="0"/>
          <w:numId w:val="1009"/>
        </w:numPr>
      </w:pPr>
      <w:r>
        <w:t xml:space="preserve">The</w:t>
      </w:r>
      <w:r>
        <w:t xml:space="preserve"> </w:t>
      </w:r>
      <w:r>
        <w:rPr>
          <w:rStyle w:val="Fill-in"/>
        </w:rPr>
        <w:t xml:space="preserve">[Chief Information Security Officer]</w:t>
      </w:r>
      <w:r>
        <w:t xml:space="preserve"> </w:t>
      </w:r>
      <w:r>
        <w:t xml:space="preserve">shall provide role-specific training when an employee enters a position that requires more of it, and when the system environment or procedures change significantly. (AT-3a.2)</w:t>
      </w:r>
    </w:p>
    <w:p>
      <w:pPr>
        <w:pStyle w:val="Compact"/>
        <w:numPr>
          <w:ilvl w:val="0"/>
          <w:numId w:val="1009"/>
        </w:numPr>
      </w:pPr>
      <w:r>
        <w:t xml:space="preserve">The</w:t>
      </w:r>
      <w:r>
        <w:t xml:space="preserve"> </w:t>
      </w:r>
      <w:r>
        <w:rPr>
          <w:rStyle w:val="Fill-in"/>
        </w:rPr>
        <w:t xml:space="preserve">[Senior privacy official]</w:t>
      </w:r>
      <w:r>
        <w:t xml:space="preserve"> </w:t>
      </w:r>
      <w:r>
        <w:t xml:space="preserve">shall provide role-based privacy training to employees and contractors with privacy roles, including managers, before they are authorized to access federal information or systems or to perform their duties. (AT-3a.1)</w:t>
      </w:r>
    </w:p>
    <w:bookmarkEnd w:id="26"/>
    <w:bookmarkEnd w:id="27"/>
    <w:bookmarkStart w:id="30" w:name="training-records-at-4"/>
    <w:p>
      <w:pPr>
        <w:pStyle w:val="Heading3"/>
      </w:pPr>
      <w:r>
        <w:t xml:space="preserve">Training records (AT-4)</w:t>
      </w:r>
    </w:p>
    <w:p>
      <w:pPr>
        <w:pStyle w:val="Compact"/>
        <w:numPr>
          <w:ilvl w:val="0"/>
          <w:numId w:val="1010"/>
        </w:numPr>
      </w:pPr>
      <w:r>
        <w:t xml:space="preserve">The</w:t>
      </w:r>
      <w:r>
        <w:t xml:space="preserve"> </w:t>
      </w:r>
      <w:r>
        <w:rPr>
          <w:rStyle w:val="Fill-in"/>
        </w:rPr>
        <w:t xml:space="preserve">[Chief Information Security Officer]</w:t>
      </w:r>
      <w:r>
        <w:t xml:space="preserve"> </w:t>
      </w:r>
      <w:r>
        <w:t xml:space="preserve">shall document security and privacy training activities, including literacy training, awareness activities and role-based training, for each person. (AT-4a)</w:t>
      </w:r>
    </w:p>
    <w:p>
      <w:pPr>
        <w:pStyle w:val="Compact"/>
        <w:numPr>
          <w:ilvl w:val="0"/>
          <w:numId w:val="1010"/>
        </w:numPr>
      </w:pPr>
      <w:r>
        <w:t xml:space="preserve">The</w:t>
      </w:r>
      <w:r>
        <w:t xml:space="preserve"> </w:t>
      </w:r>
      <w:r>
        <w:rPr>
          <w:rStyle w:val="Fill-in"/>
        </w:rPr>
        <w:t xml:space="preserve">[Chief Information Security Officer]</w:t>
      </w:r>
      <w:r>
        <w:t xml:space="preserve"> </w:t>
      </w:r>
      <w:r>
        <w:t xml:space="preserve">shall monitor training records for training that is overdue, and report overdue training to the person’s supervisor. (AT-4a)</w:t>
      </w:r>
    </w:p>
    <w:p>
      <w:pPr>
        <w:pStyle w:val="Compact"/>
        <w:numPr>
          <w:ilvl w:val="0"/>
          <w:numId w:val="1010"/>
        </w:numPr>
      </w:pPr>
      <w:r>
        <w:t xml:space="preserve">The</w:t>
      </w:r>
      <w:r>
        <w:t xml:space="preserve"> </w:t>
      </w:r>
      <w:r>
        <w:rPr>
          <w:rStyle w:val="Fill-in"/>
        </w:rPr>
        <w:t xml:space="preserve">[Chief Information Security Officer]</w:t>
      </w:r>
      <w:r>
        <w:t xml:space="preserve"> </w:t>
      </w:r>
      <w:r>
        <w:t xml:space="preserve">shall retain individual training records for</w:t>
      </w:r>
      <w:r>
        <w:t xml:space="preserve"> </w:t>
      </w:r>
      <w:r>
        <w:rPr>
          <w:rStyle w:val="Fill-in"/>
        </w:rPr>
        <w:t xml:space="preserve">[Fill in: time period for retaining individual training records. Typical: 3 years after completion, or longer where a law, the records retention schedule or a business need requires it]</w:t>
      </w:r>
      <w:r>
        <w:t xml:space="preserve">. (AT-4b)</w:t>
      </w:r>
    </w:p>
    <w:bookmarkStart w:id="29" w:name="federal-systems-2"/>
    <w:p>
      <w:pPr>
        <w:pStyle w:val="Heading4"/>
      </w:pPr>
      <w:r>
        <w:t xml:space="preserve">Federal systems</w:t>
      </w:r>
    </w:p>
    <w:p>
      <w:pPr>
        <w:pStyle w:val="FirstParagraph"/>
      </w:pPr>
      <w:r>
        <w:t xml:space="preserve">The NARA</w:t>
      </w:r>
      <w:r>
        <w:t xml:space="preserve"> </w:t>
      </w:r>
      <w:hyperlink r:id="rId28">
        <w:r>
          <w:rPr>
            <w:rStyle w:val="Hyperlink"/>
          </w:rPr>
          <w:t xml:space="preserve">General Records Schedule 2.6</w:t>
        </w:r>
      </w:hyperlink>
      <w:r>
        <w:t xml:space="preserve">, Employee Training Records (Transmittal 35, May 2024), item 030, covers individual employee training records:</w:t>
      </w:r>
      <w:r>
        <w:t xml:space="preserve"> </w:t>
      </w:r>
      <w:r>
        <w:t xml:space="preserve">“Destroy when superseded, 3 years old, or 1 year after separation, whichever comes first, but longer retention is authorized if required for business use.”</w:t>
      </w:r>
      <w:r>
        <w:t xml:space="preserve"> </w:t>
      </w:r>
      <w:r>
        <w:t xml:space="preserve">Checked September 2026.</w:t>
      </w:r>
    </w:p>
    <w:p>
      <w:pPr>
        <w:pStyle w:val="Compact"/>
        <w:numPr>
          <w:ilvl w:val="0"/>
          <w:numId w:val="1011"/>
        </w:numPr>
      </w:pPr>
      <w:r>
        <w:t xml:space="preserve">The</w:t>
      </w:r>
      <w:r>
        <w:t xml:space="preserve"> </w:t>
      </w:r>
      <w:r>
        <w:rPr>
          <w:rStyle w:val="Fill-in"/>
        </w:rPr>
        <w:t xml:space="preserve">[Chief Information Security Officer]</w:t>
      </w:r>
      <w:r>
        <w:t xml:space="preserve"> </w:t>
      </w:r>
      <w:r>
        <w:t xml:space="preserve">shall retain and dispose of individual training records as GRS 2.6 item 030, or the agency’s own approved records schedule, requires. (AT-4b)</w:t>
      </w:r>
    </w:p>
    <w:bookmarkEnd w:id="29"/>
    <w:bookmarkEnd w:id="30"/>
    <w:bookmarkEnd w:id="31"/>
    <w:bookmarkStart w:id="33" w:name="review-and-update"/>
    <w:p>
      <w:pPr>
        <w:pStyle w:val="Heading2"/>
      </w:pPr>
      <w:r>
        <w:t xml:space="preserve">Review and update</w:t>
      </w:r>
    </w:p>
    <w:p>
      <w:pPr>
        <w:pStyle w:val="Compact"/>
        <w:numPr>
          <w:ilvl w:val="0"/>
          <w:numId w:val="1012"/>
        </w:numPr>
      </w:pPr>
      <w:r>
        <w:t xml:space="preserve">The</w:t>
      </w:r>
      <w:r>
        <w:t xml:space="preserve"> </w:t>
      </w:r>
      <w:r>
        <w:rPr>
          <w:rStyle w:val="Fill-in"/>
        </w:rPr>
        <w:t xml:space="preserve">[Fill in: an official to manage the awareness and training policy and procedures. Typical: Chief Information Security Officer]</w:t>
      </w:r>
      <w:r>
        <w:t xml:space="preserve"> </w:t>
      </w:r>
      <w:r>
        <w:t xml:space="preserve">shall review and update this policy</w:t>
      </w:r>
      <w:r>
        <w:t xml:space="preserve"> </w:t>
      </w:r>
      <w:r>
        <w:rPr>
          <w:rStyle w:val="Fill-in"/>
        </w:rPr>
        <w:t xml:space="preserve">[Fill in: the frequency at which the current awareness and training policy is reviewed and updated. Typical: annually]</w:t>
      </w:r>
      <w:r>
        <w:t xml:space="preserve"> </w:t>
      </w:r>
      <w:r>
        <w:t xml:space="preserve">and following</w:t>
      </w:r>
      <w:r>
        <w:t xml:space="preserve"> </w:t>
      </w:r>
      <w:r>
        <w:rPr>
          <w:rStyle w:val="Fill-in"/>
        </w:rPr>
        <w:t xml:space="preserve">[Fill in: events that would require the current awareness and training policy to be reviewed and updated. Typical: assessment or audit findings, security incidents or breaches, and changes in applicable laws, executive orders, directives, regulations, policies, standards or guidelines]</w:t>
      </w:r>
      <w:r>
        <w:t xml:space="preserve">. (AT-1c.1)</w:t>
      </w:r>
    </w:p>
    <w:p>
      <w:pPr>
        <w:pStyle w:val="Compact"/>
        <w:numPr>
          <w:ilvl w:val="0"/>
          <w:numId w:val="1012"/>
        </w:numPr>
      </w:pPr>
      <w:r>
        <w:t xml:space="preserve">The</w:t>
      </w:r>
      <w:r>
        <w:t xml:space="preserve"> </w:t>
      </w:r>
      <w:r>
        <w:rPr>
          <w:rStyle w:val="Fill-in"/>
        </w:rPr>
        <w:t xml:space="preserve">[Fill in: an official to manage the awareness and training policy and procedures. Typical: Chief Information Security Officer]</w:t>
      </w:r>
      <w:r>
        <w:t xml:space="preserve"> </w:t>
      </w:r>
      <w:r>
        <w:t xml:space="preserve">shall review and update the procedures that implement this policy</w:t>
      </w:r>
      <w:r>
        <w:t xml:space="preserve"> </w:t>
      </w:r>
      <w:r>
        <w:rPr>
          <w:rStyle w:val="Fill-in"/>
        </w:rPr>
        <w:t xml:space="preserve">[Fill in: the frequency at which the current awareness and training procedures are reviewed and updated. Typical: annually]</w:t>
      </w:r>
      <w:r>
        <w:t xml:space="preserve"> </w:t>
      </w:r>
      <w:r>
        <w:t xml:space="preserve">and following</w:t>
      </w:r>
      <w:r>
        <w:t xml:space="preserve"> </w:t>
      </w:r>
      <w:r>
        <w:rPr>
          <w:rStyle w:val="Fill-in"/>
        </w:rPr>
        <w:t xml:space="preserve">[Fill in: events that would require procedures to be reviewed and updated. Typical: the same events as the policy, and changes to the systems, tools or services the procedures describe]</w:t>
      </w:r>
      <w:r>
        <w:t xml:space="preserve">. (AT-1c.2)</w:t>
      </w:r>
    </w:p>
    <w:bookmarkStart w:id="32" w:name="federal-systems-3"/>
    <w:p>
      <w:pPr>
        <w:pStyle w:val="Heading3"/>
      </w:pPr>
      <w:r>
        <w:t xml:space="preserve">Federal systems</w:t>
      </w:r>
    </w:p>
    <w:p>
      <w:pPr>
        <w:pStyle w:val="FirstParagraph"/>
      </w:pPr>
      <w:r>
        <w:t xml:space="preserve">For federal information systems, this policy also carries out the agency’s information security responsibilities under the Federal Information Security Modernization Act of 2014 (</w:t>
      </w:r>
      <w:hyperlink r:id="rId20">
        <w:r>
          <w:rPr>
            <w:rStyle w:val="Hyperlink"/>
          </w:rPr>
          <w:t xml:space="preserve">44 U.S.C. § 3554</w:t>
        </w:r>
      </w:hyperlink>
      <w:r>
        <w:t xml:space="preserve">, Federal agency responsibilities) and</w:t>
      </w:r>
      <w:r>
        <w:t xml:space="preserve"> </w:t>
      </w:r>
      <w:hyperlink r:id="rId21">
        <w:r>
          <w:rPr>
            <w:rStyle w:val="Hyperlink"/>
          </w:rPr>
          <w:t xml:space="preserve">OMB Circular A-130</w:t>
        </w:r>
      </w:hyperlink>
      <w:r>
        <w:t xml:space="preserve">, Appendix I, Responsibilities for Protecting and Managing Federal Information Resources.</w:t>
      </w:r>
    </w:p>
    <w:p>
      <w:pPr>
        <w:pStyle w:val="Compact"/>
        <w:numPr>
          <w:ilvl w:val="0"/>
          <w:numId w:val="1013"/>
        </w:numPr>
      </w:pPr>
      <w:r>
        <w:t xml:space="preserve">Where the agency’s organization-wide policy sets a value for a parameter in this policy, each system shall use that value or a stricter one. (AT-1a.1(b))</w:t>
      </w:r>
    </w:p>
    <w:bookmarkEnd w:id="32"/>
    <w:bookmarkEnd w:id="33"/>
    <w:bookmarkEnd w:id="34"/>
    <w:sectPr>
      <w:headerReference r:id="rIdPres06Header" w:type="default"/>
      <w:footerReference r:id="rIdPres06Footer" w:type="default"/>
      <w:footnotePr>
        <w:numRestart w:val="eachSect"/>
      </w:footnotePr>
      <w:pgSz w:h="15840" w:w="12240"/>
      <w:pgMar w:bottom="1440" w:footer="720" w:gutter="0" w:header="720" w:left="1440" w:right="1440" w:top="1440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="http://schemas.openxmlformats.org/wordprocessingml/2006/main" xmlns:r="http://schemas.openxmlformats.org/officeDocument/2006/relationships">
  <w:p>
    <w:pPr>
      <w:pStyle w:val="Footer"/>
    </w:pPr>
    <w:r>
      <w:t xml:space="preserve">Page </w:t>
    </w:r>
    <w:fldSimple w:instr=" PAGE ">
      <w:r>
        <w:t xml:space="preserve">1</w:t>
      </w:r>
    </w:fldSimple>
    <w:r>
      <w:t xml:space="preserve"> of </w:t>
    </w:r>
    <w:fldSimple w:instr=" NUMPAGES ">
      <w:r>
        <w:t xml:space="preserve">1</w:t>
      </w:r>
    </w:fldSimple>
  </w:p>
</w:ftr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header1.xml><?xml version="1.0" encoding="utf-8"?>
<w:hdr xmlns:w="http://schemas.openxmlformats.org/wordprocessingml/2006/main" xmlns:r="http://schemas.openxmlformats.org/officeDocument/2006/relationships">
  <w:p>
    <w:pPr>
      <w:pStyle w:val="Header"/>
    </w:pPr>
    <w:r>
      <w:t xml:space="preserve">Awareness and Training Policy</w:t>
    </w:r>
    <w:r>
      <w:tab/>
    </w:r>
    <w:r>
      <w:t xml:space="preserve">Version 1.0.0</w:t>
    </w:r>
  </w:p>
</w:hdr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cs="Calibri" w:eastAsiaTheme="minorEastAsia" w:hAnsi="Calibri"/>
        <w:sz w:val="22"/>
        <w:szCs w:val="22"/>
        <w:lang w:bidi="ar-SA" w:eastAsia="zh-CN" w:val="en-US"/>
      </w:rPr>
    </w:rPrDefault>
    <w:pPrDefault>
      <w:pPr>
        <w:spacing w:after="120" w:line="264" w:lineRule="auto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60" w:before="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pPr>
      <w:spacing w:after="240"/>
      <w:contextualSpacing/>
    </w:pPr>
    <w:rPr>
      <w:rFonts w:ascii="Georgia" w:cs="Georgia" w:eastAsiaTheme="minorEastAsia" w:hAnsi="Georgia"/>
      <w:color w:val="0F5C5A"/>
      <w:sz w:val="52"/>
      <w:szCs w:val="52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pPr>
      <w:keepNext/>
      <w:keepLines/>
      <w:spacing w:after="120" w:before="360"/>
      <w:outlineLvl w:val="0"/>
    </w:pPr>
    <w:rPr>
      <w:rFonts w:ascii="Georgia" w:cs="Georgia" w:eastAsiaTheme="minorEastAsia" w:hAnsi="Georgia"/>
      <w:color w:val="0F5C5A"/>
      <w:sz w:val="36"/>
      <w:szCs w:val="36"/>
    </w:rPr>
  </w:style>
  <w:style w:styleId="Heading2" w:type="paragraph">
    <w:name w:val="heading 2"/>
    <w:basedOn w:val="Normal"/>
    <w:next w:val="BodyText"/>
    <w:link w:val="Heading2Char"/>
    <w:uiPriority w:val="9"/>
    <w:qFormat/>
    <w:pPr>
      <w:keepNext/>
      <w:keepLines/>
      <w:spacing w:after="100" w:before="300"/>
      <w:outlineLvl w:val="1"/>
    </w:pPr>
    <w:rPr>
      <w:rFonts w:ascii="Georgia" w:cs="Georgia" w:eastAsiaTheme="minorEastAsia" w:hAnsi="Georgia"/>
      <w:color w:val="0F5C5A"/>
      <w:sz w:val="28"/>
      <w:szCs w:val="28"/>
    </w:rPr>
  </w:style>
  <w:style w:styleId="Heading3" w:type="paragraph">
    <w:name w:val="heading 3"/>
    <w:basedOn w:val="Normal"/>
    <w:next w:val="BodyText"/>
    <w:link w:val="Heading3Char"/>
    <w:uiPriority w:val="9"/>
    <w:qFormat/>
    <w:pPr>
      <w:keepNext/>
      <w:keepLines/>
      <w:spacing w:after="80" w:before="240"/>
      <w:outlineLvl w:val="2"/>
    </w:pPr>
    <w:rPr>
      <w:rFonts w:ascii="Georgia" w:cs="Georgia" w:eastAsiaTheme="minorEastAsia" w:hAnsi="Georgia"/>
      <w:b/>
      <w:bCs/>
      <w:color w:val="093A39"/>
      <w:sz w:val="24"/>
      <w:szCs w:val="24"/>
    </w:rPr>
  </w:style>
  <w:style w:styleId="Heading4" w:type="paragraph">
    <w:name w:val="heading 4"/>
    <w:basedOn w:val="Normal"/>
    <w:next w:val="BodyText"/>
    <w:link w:val="Heading4Char"/>
    <w:uiPriority w:val="9"/>
    <w:qFormat/>
    <w:pPr>
      <w:keepNext/>
      <w:keepLines/>
      <w:spacing w:after="60" w:before="200"/>
      <w:outlineLvl w:val="3"/>
    </w:pPr>
    <w:rPr>
      <w:rFonts w:ascii="Calibri" w:cs="Calibri" w:eastAsiaTheme="minorEastAsia" w:hAnsi="Calibri"/>
      <w:b/>
      <w:bCs/>
      <w:color w:val="093A39"/>
      <w:sz w:val="22"/>
      <w:szCs w:val="22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uiPriority w:val="59"/>
    <w:qFormat/>
    <w:pPr>
      <w:spacing w:after="0" w:before="0"/>
    </w:pPr>
    <w:rPr>
      <w:sz w:val="20"/>
      <w:szCs w:val="20"/>
    </w:rPr>
    <w:tblPr>
      <w:tblInd w:type="dxa" w:w="0"/>
      <w:tblBorders>
        <w:top w:color="BFBFBF" w:space="0" w:sz="4" w:val="single"/>
        <w:left w:color="BFBFBF" w:space="0" w:sz="4" w:val="single"/>
        <w:bottom w:color="BFBFBF" w:space="0" w:sz="4" w:val="single"/>
        <w:right w:color="BFBFBF" w:space="0" w:sz="4" w:val="single"/>
        <w:insideH w:color="BFBFBF" w:space="0" w:sz="4" w:val="single"/>
        <w:insideV w:color="BFBFBF" w:space="0" w:sz="4" w:val="single"/>
      </w:tblBorders>
      <w:tblCellMar>
        <w:top w:type="dxa" w:w="60"/>
        <w:left w:type="dxa" w:w="108"/>
        <w:bottom w:type="dxa" w:w="60"/>
        <w:right w:type="dxa" w:w="108"/>
      </w:tblCellMar>
    </w:tblPr>
    <w:tblStylePr w:type="firstRow">
      <w:rPr>
        <w:b/>
        <w:bCs/>
        <w:color w:val="FFFFFF"/>
      </w:rPr>
      <w:tcPr>
        <w:shd w:color="auto" w:fill="0F5C5A" w:val="clear"/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val="0F5C5A"/>
      <w:u w:val="single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customStyle="1" w:styleId="Fill-in" w:type="character">
    <w:name w:val="Fill-in"/>
    <w:rPr>
      <w:highlight w:val="yellow"/>
    </w:rPr>
  </w:style>
  <w:style w:customStyle="1" w:styleId="Guidance" w:type="paragraph">
    <w:name w:val="Guidance"/>
    <w:basedOn w:val="Normal"/>
    <w:qFormat/>
    <w:pPr>
      <w:pBdr>
        <w:left w:color="0F5C5A" w:space="8" w:sz="18" w:val="single"/>
      </w:pBdr>
      <w:shd w:color="auto" w:fill="EAF4F3" w:val="clear"/>
      <w:ind w:left="284"/>
    </w:pPr>
    <w:rPr>
      <w:i/>
    </w:rPr>
  </w:style>
  <w:style w:styleId="Header" w:type="paragraph">
    <w:name w:val="header"/>
    <w:basedOn w:val="Normal"/>
    <w:uiPriority w:val="99"/>
    <w:unhideWhenUsed/>
    <w:pPr>
      <w:pBdr>
        <w:bottom w:color="0F5C5A" w:space="4" w:sz="4" w:val="single"/>
      </w:pBdr>
      <w:tabs>
        <w:tab w:pos="9360" w:val="right"/>
      </w:tabs>
      <w:spacing w:after="0"/>
    </w:pPr>
    <w:rPr>
      <w:color w:val="595959"/>
      <w:sz w:val="18"/>
      <w:szCs w:val="18"/>
    </w:rPr>
  </w:style>
  <w:style w:styleId="Footer" w:type="paragraph">
    <w:name w:val="footer"/>
    <w:basedOn w:val="Normal"/>
    <w:uiPriority w:val="99"/>
    <w:unhideWhenUsed/>
    <w:pPr>
      <w:jc w:val="center"/>
      <w:spacing w:after="0"/>
    </w:pPr>
    <w:rPr>
      <w:color w:val="595959"/>
      <w:sz w:val="18"/>
      <w:szCs w:val="18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Id="rIdPres06Header" Target="header1.xml" Type="http://schemas.openxmlformats.org/officeDocument/2006/relationships/header" /><Relationship Id="rIdPres06Footer" Target="footer1.xml" Type="http://schemas.openxmlformats.org/officeDocument/2006/relationships/footer" /><Relationship Type="http://schemas.openxmlformats.org/officeDocument/2006/relationships/hyperlink" Id="rId10" Target="https://creativecommons.org/publicdomain/zero/1.0/" TargetMode="External" /><Relationship Type="http://schemas.openxmlformats.org/officeDocument/2006/relationships/hyperlink" Id="rId9" Target="https://kston83.github.io/nist-guide/templates/policies/at/" TargetMode="External" /><Relationship Type="http://schemas.openxmlformats.org/officeDocument/2006/relationships/hyperlink" Id="rId20" Target="https://uscode.house.gov/view.xhtml?req=granuleid:USC-prelim-title44-section3554&amp;num=0&amp;edition=prelim" TargetMode="External" /><Relationship Type="http://schemas.openxmlformats.org/officeDocument/2006/relationships/hyperlink" Id="rId28" Target="https://www.archives.gov/files/records-mgmt/grs/grs02-6.pdf" TargetMode="External" /><Relationship Type="http://schemas.openxmlformats.org/officeDocument/2006/relationships/hyperlink" Id="rId19" Target="https://www.ecfr.gov/current/title-5/chapter-I/subchapter-B/part-930/subpart-C/section-930.301" TargetMode="External" /><Relationship Type="http://schemas.openxmlformats.org/officeDocument/2006/relationships/hyperlink" Id="rId21" Target="https://www.whitehouse.gov/wp-content/uploads/legacy_drupal_files/omb/circulars/A130/a130revised.pdf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https://creativecommons.org/publicdomain/zero/1.0/" TargetMode="External" /><Relationship Type="http://schemas.openxmlformats.org/officeDocument/2006/relationships/hyperlink" Id="rId9" Target="https://kston83.github.io/nist-guide/templates/policies/at/" TargetMode="External" /><Relationship Type="http://schemas.openxmlformats.org/officeDocument/2006/relationships/hyperlink" Id="rId20" Target="https://uscode.house.gov/view.xhtml?req=granuleid:USC-prelim-title44-section3554&amp;num=0&amp;edition=prelim" TargetMode="External" /><Relationship Type="http://schemas.openxmlformats.org/officeDocument/2006/relationships/hyperlink" Id="rId28" Target="https://www.archives.gov/files/records-mgmt/grs/grs02-6.pdf" TargetMode="External" /><Relationship Type="http://schemas.openxmlformats.org/officeDocument/2006/relationships/hyperlink" Id="rId19" Target="https://www.ecfr.gov/current/title-5/chapter-I/subchapter-B/part-930/subpart-C/section-930.301" TargetMode="External" /><Relationship Type="http://schemas.openxmlformats.org/officeDocument/2006/relationships/hyperlink" Id="rId21" Target="https://www.whitehouse.gov/wp-content/uploads/legacy_drupal_files/omb/circulars/A130/a130revised.pdf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2026-10-16T17:54:52Z</dcterms:created>
  <dcterms:modified xsi:type="dcterms:W3CDTF">2026-10-16T17:54:52Z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