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awareness-and-training-policy"/>
    <w:p>
      <w:pPr>
        <w:pStyle w:val="Heading1"/>
      </w:pPr>
      <w:r>
        <w:t xml:space="preserve">Awareness and Training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https://kston83.github.io/nist-guide/templates/policies/at/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AT-1,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AT-1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Awareness and Training, and who is accountable for meeting those requirements. (AT-1a.1(a))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(AT-1a.1(a))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(AT-1a.1(a))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(AT-1b)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(AT-1a.1(a))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(AT-1a.1(a))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(AT-1a.1(a))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(AT-1a.1(a))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(AT-1a.1(b))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(AT-1a.1(a))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(AT-1a.1(a))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(AT-1a.1(a))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(AT-1a.2)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policy is to be disseminated. Typical: everyone within its scope, through the policy library]</w:t>
      </w:r>
      <w:r>
        <w:t xml:space="preserve">. (AT-1a)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procedures are to be disseminated. Typical: the people who carry them out, and the system owners]</w:t>
      </w:r>
      <w:r>
        <w:t xml:space="preserve">. (AT-1a)</w:t>
      </w:r>
    </w:p>
    <w:bookmarkEnd w:id="18"/>
    <w:bookmarkStart w:id="35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4" w:name="literacy-training-and-awareness-at-2"/>
    <w:p>
      <w:pPr>
        <w:pStyle w:val="Heading3"/>
      </w:pPr>
      <w:r>
        <w:t xml:space="preserve">Literacy training and awareness (AT-2)</w:t>
      </w:r>
    </w:p>
    <w:p>
      <w:pPr>
        <w:pStyle w:val="Guidance"/>
      </w:pPr>
      <w:r>
        <w:t xml:space="preserve">Literacy training is the course every user takes; awareness is what keeps the message alive between courses. Assessors compare completion records with account creation dates, so require the initial course before access (AC-2) and track it for employees, contractors and executives alike. The</w:t>
      </w:r>
      <w:r>
        <w:t xml:space="preserve"> </w:t>
      </w:r>
      <w:hyperlink r:id="rId19">
        <w:r>
          <w:rPr>
            <w:rStyle w:val="Hyperlink"/>
          </w:rPr>
          <w:t xml:space="preserve">training plan</w:t>
        </w:r>
      </w:hyperlink>
      <w:r>
        <w:t xml:space="preserve"> </w:t>
      </w:r>
      <w:r>
        <w:t xml:space="preserve">sets out the courses and schedule.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security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privacy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security literacy training for system users. Typical: a significant system change, or an incident caused by user error]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privacy literacy training for system users. Typical: a significant change in how the organization processes personally identifiable information, or a privacy breach]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increase users’ security and privacy awareness through</w:t>
      </w:r>
      <w:r>
        <w:t xml:space="preserve"> </w:t>
      </w:r>
      <w:r>
        <w:rPr>
          <w:rStyle w:val="Fill-in"/>
        </w:rPr>
        <w:t xml:space="preserve">[Fill in: techniques to be employed to increase the security and privacy awareness of system users. Typical: phishing simulations, short awareness messages and posters]</w:t>
      </w:r>
      <w:r>
        <w:t xml:space="preserve">. (AT-2b)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literacy training and awareness content</w:t>
      </w:r>
      <w:r>
        <w:t xml:space="preserve"> </w:t>
      </w:r>
      <w:r>
        <w:rPr>
          <w:rStyle w:val="Fill-in"/>
        </w:rPr>
        <w:t xml:space="preserve">[Fill in: the frequency at which to update literacy training and awareness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literacy training and awareness content to be updated. Typical: a significant incident, or a significant change in threats]</w:t>
      </w:r>
      <w:r>
        <w:t xml:space="preserve">. (AT-2c)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incorporate lessons learned from internal and external security incidents and breaches into literacy training and awareness techniques. (AT-2d)</w:t>
      </w:r>
    </w:p>
    <w:bookmarkStart w:id="23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20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that all users of federal information systems be exposed to security awareness materials at least annually, and that new employees receive awareness material before they are allowed access.</w:t>
      </w:r>
      <w:r>
        <w:t xml:space="preserve"> </w:t>
      </w:r>
      <w:hyperlink r:id="rId21">
        <w:r>
          <w:rPr>
            <w:rStyle w:val="Hyperlink"/>
          </w:rPr>
          <w:t xml:space="preserve">44 U.S.C. § 3554(b)(4)</w:t>
        </w:r>
      </w:hyperlink>
      <w:r>
        <w:t xml:space="preserve"> </w:t>
      </w:r>
      <w:r>
        <w:t xml:space="preserve">requires security awareness training for personnel, including contractors and other users.</w:t>
      </w:r>
      <w:r>
        <w:t xml:space="preserve"> </w:t>
      </w:r>
      <w:hyperlink r:id="rId22">
        <w:r>
          <w:rPr>
            <w:rStyle w:val="Hyperlink"/>
          </w:rPr>
          <w:t xml:space="preserve">OMB Circular A-130</w:t>
        </w:r>
      </w:hyperlink>
      <w:r>
        <w:t xml:space="preserve"> </w:t>
      </w:r>
      <w:r>
        <w:t xml:space="preserve">(July 28, 2016), Appendix II, section 5.g, requires mandatory agency-wide privacy awareness and training for all employees and contractors. Checked September 2026.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give new employees security awareness material before they are allowed access to federal information systems.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expose every user of federal information systems, including contractors, to security awareness materials at least annually.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maintain mandatory privacy awareness and training for all employees and contractors, as OMB Circular A-130 Appendix II requires. (AT-2a.1)</w:t>
      </w:r>
    </w:p>
    <w:bookmarkEnd w:id="23"/>
    <w:bookmarkEnd w:id="24"/>
    <w:bookmarkStart w:id="28" w:name="role-based-training-at-3"/>
    <w:p>
      <w:pPr>
        <w:pStyle w:val="Heading3"/>
      </w:pPr>
      <w:r>
        <w:t xml:space="preserve">Role-based training (AT-3)</w:t>
      </w:r>
    </w:p>
    <w:p>
      <w:pPr>
        <w:pStyle w:val="Guidance"/>
      </w:pPr>
      <w:r>
        <w:t xml:space="preserve">Role-based training goes beyond what every user learns: administrators learn secure configuration, developers secure coding, authorizing officials how to weigh risk. List each role and its courses in the</w:t>
      </w:r>
      <w:r>
        <w:t xml:space="preserve"> </w:t>
      </w:r>
      <w:hyperlink r:id="rId19">
        <w:r>
          <w:rPr>
            <w:rStyle w:val="Hyperlink"/>
          </w:rPr>
          <w:t xml:space="preserve">training plan</w:t>
        </w:r>
      </w:hyperlink>
      <w:r>
        <w:t xml:space="preserve">. The NICE Workforce Framework for Cybersecurity (</w:t>
      </w:r>
      <w:hyperlink r:id="rId25">
        <w:r>
          <w:rPr>
            <w:rStyle w:val="Hyperlink"/>
          </w:rPr>
          <w:t xml:space="preserve">SP 800-181 Rev. 1</w:t>
        </w:r>
      </w:hyperlink>
      <w:r>
        <w:t xml:space="preserve">, with its</w:t>
      </w:r>
      <w:r>
        <w:t xml:space="preserve"> </w:t>
      </w:r>
      <w:hyperlink r:id="rId26">
        <w:r>
          <w:rPr>
            <w:rStyle w:val="Hyperlink"/>
          </w:rPr>
          <w:t xml:space="preserve">components</w:t>
        </w:r>
      </w:hyperlink>
      <w:r>
        <w:t xml:space="preserve"> </w:t>
      </w:r>
      <w:r>
        <w:t xml:space="preserve">at v2.2.0 as of September 2026) describes work roles and the knowledge and skills each needs, a useful starting point for the course list. Incident response training is covered by IR-2 and contingency training by CP-3.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role-based security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security training. Typical: system administrators, developers, security staff, incident responders, system owners and authorizing officials]</w:t>
      </w:r>
      <w:r>
        <w:t xml:space="preserve">. (AT-3a)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privacy training. Typical: staff who handle personally identifiable information as part of their duties, the privacy office, and owners of systems that process it]</w:t>
      </w:r>
      <w:r>
        <w:t xml:space="preserve">. (AT-3a)</w:t>
      </w:r>
    </w:p>
    <w:p>
      <w:pPr>
        <w:pStyle w:val="Compact"/>
        <w:numPr>
          <w:ilvl w:val="0"/>
          <w:numId w:val="1006"/>
        </w:numPr>
      </w:pPr>
      <w:r>
        <w:t xml:space="preserve">Role-based training shall be completed before the person is authorized to access the system or information, or to perform the assigned duties, and</w:t>
      </w:r>
      <w:r>
        <w:t xml:space="preserve"> </w:t>
      </w:r>
      <w:r>
        <w:rPr>
          <w:rStyle w:val="Fill-in"/>
        </w:rPr>
        <w:t xml:space="preserve">[Fill in: the frequency at which to provide role-based security and privacy training to assigned personnel after initial training. Typical: annually]</w:t>
      </w:r>
      <w:r>
        <w:t xml:space="preserve"> </w:t>
      </w:r>
      <w:r>
        <w:t xml:space="preserve">thereafter. (AT-3a.1)</w:t>
      </w:r>
    </w:p>
    <w:p>
      <w:pPr>
        <w:pStyle w:val="Compact"/>
        <w:numPr>
          <w:ilvl w:val="0"/>
          <w:numId w:val="1006"/>
        </w:numPr>
      </w:pPr>
      <w:r>
        <w:t xml:space="preserve">Role-based training shall also be provided when system changes require it. (AT-3a.2)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update role-based training content</w:t>
      </w:r>
      <w:r>
        <w:t xml:space="preserve"> </w:t>
      </w:r>
      <w:r>
        <w:rPr>
          <w:rStyle w:val="Fill-in"/>
        </w:rPr>
        <w:t xml:space="preserve">[Fill in: the frequency at which to update role-based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require role-based training content to be updated. Typical: a significant incident, a change in a role’s tools or duties, or a new legal or policy requirement]</w:t>
      </w:r>
      <w:r>
        <w:t xml:space="preserve">. (AT-3b)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incorporate lessons learned from internal and external security incidents and breaches into role-based training. (AT-3c)</w:t>
      </w:r>
    </w:p>
    <w:bookmarkStart w:id="27" w:name="federal-systems-1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20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agencies to identify employees with significant information security responsibilities and give them role-specific training in accordance with NIST standards and guidance; refresher training as often as the agency determines necessary, based on the sensitivity of the information; and training when the system environment or procedures change significantly, or when an employee enters a position that needs more role-specific training.</w:t>
      </w:r>
      <w:r>
        <w:t xml:space="preserve"> </w:t>
      </w:r>
      <w:hyperlink r:id="rId22">
        <w:r>
          <w:rPr>
            <w:rStyle w:val="Hyperlink"/>
          </w:rPr>
          <w:t xml:space="preserve">OMB Circular A-130</w:t>
        </w:r>
      </w:hyperlink>
      <w:r>
        <w:t xml:space="preserve">, Appendix II, section 5.g, requires role-based privacy training, before access or assigned duties, for employees and contractors with privacy roles, including managers. Checked September 2026.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identify employees with significant information security responsibilities and give them role-specific training in accordance with NIST standards and guidance. (AT-3a)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role-specific training when an employee enters a position that requires more of it, and when the system environment or procedures change significantly. (AT-3a.2)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employees and contractors with privacy roles, including managers, before they are authorized to access federal information or systems or to perform their duties. (AT-3a.1)</w:t>
      </w:r>
    </w:p>
    <w:bookmarkEnd w:id="27"/>
    <w:bookmarkEnd w:id="28"/>
    <w:bookmarkStart w:id="30" w:name="X2db6715508b8a07af17e325309de72adeb850dc"/>
    <w:p>
      <w:pPr>
        <w:pStyle w:val="Heading3"/>
      </w:pPr>
      <w:r>
        <w:t xml:space="preserve">Processing personally identifiable information (AT-3(5))</w:t>
      </w:r>
    </w:p>
    <w:p>
      <w:pPr>
        <w:pStyle w:val="Guidance"/>
      </w:pPr>
      <w:r>
        <w:t xml:space="preserve">This training covers the privacy controls in the PT family, set out in the</w:t>
      </w:r>
      <w:r>
        <w:t xml:space="preserve"> </w:t>
      </w:r>
      <w:hyperlink r:id="rId29">
        <w:r>
          <w:rPr>
            <w:rStyle w:val="Hyperlink"/>
          </w:rPr>
          <w:t xml:space="preserve">PII Processing and Transparency Policy</w:t>
        </w:r>
      </w:hyperlink>
      <w:r>
        <w:t xml:space="preserve">: the authority to process, purpose limits, consent, privacy notices, and the handling of records about individuals. AT-3(5) is in the Privacy baseline only.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</w:t>
      </w:r>
      <w:r>
        <w:t xml:space="preserve"> </w:t>
      </w:r>
      <w:r>
        <w:rPr>
          <w:rStyle w:val="Fill-in"/>
        </w:rPr>
        <w:t xml:space="preserve">[Fill in: personnel or roles to be provided with initial and refresher training in the employment and operation of personally identifiable information processing and transparency controls. Typical: personnel who design, operate or manage systems or processes that handle personally identifiable information, and the privacy office]</w:t>
      </w:r>
      <w:r>
        <w:t xml:space="preserve"> </w:t>
      </w:r>
      <w:r>
        <w:t xml:space="preserve">with initial training, and refresher training</w:t>
      </w:r>
      <w:r>
        <w:t xml:space="preserve"> </w:t>
      </w:r>
      <w:r>
        <w:rPr>
          <w:rStyle w:val="Fill-in"/>
        </w:rPr>
        <w:t xml:space="preserve">[Fill in: the frequency at which to provide refresher training in the employment and operation of personally identifiable information processing and transparency controls. Typical: annually]</w:t>
      </w:r>
      <w:r>
        <w:t xml:space="preserve">, in the use and operation of the controls for processing personally identifiable information and for transparency. (AT-3(5))</w:t>
      </w:r>
    </w:p>
    <w:bookmarkEnd w:id="30"/>
    <w:bookmarkStart w:id="34" w:name="training-records-at-4"/>
    <w:p>
      <w:pPr>
        <w:pStyle w:val="Heading3"/>
      </w:pPr>
      <w:r>
        <w:t xml:space="preserve">Training records (AT-4)</w:t>
      </w:r>
    </w:p>
    <w:p>
      <w:pPr>
        <w:pStyle w:val="Guidance"/>
      </w:pPr>
      <w:r>
        <w:t xml:space="preserve">Keep records in the learning management system where possible, and in the</w:t>
      </w:r>
      <w:r>
        <w:t xml:space="preserve"> </w:t>
      </w:r>
      <w:hyperlink r:id="rId31">
        <w:r>
          <w:rPr>
            <w:rStyle w:val="Hyperlink"/>
          </w:rPr>
          <w:t xml:space="preserve">training record log</w:t>
        </w:r>
      </w:hyperlink>
      <w:r>
        <w:t xml:space="preserve"> </w:t>
      </w:r>
      <w:r>
        <w:t xml:space="preserve">for training given outside it. Monitoring means someone checks the records for overdue training and acts on it, not just that the records exist.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document security and privacy training activities, including literacy training, awareness activities and role-based training, for each person. (AT-4a)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monitor training records for training that is overdue, and report overdue training to the person’s supervisor. (AT-4a)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individual training records for</w:t>
      </w:r>
      <w:r>
        <w:t xml:space="preserve"> </w:t>
      </w:r>
      <w:r>
        <w:rPr>
          <w:rStyle w:val="Fill-in"/>
        </w:rPr>
        <w:t xml:space="preserve">[Fill in: time period for retaining individual training records. Typical: 3 years after completion, or longer where a law, the records retention schedule or a business need requires it]</w:t>
      </w:r>
      <w:r>
        <w:t xml:space="preserve">. (AT-4b)</w:t>
      </w:r>
    </w:p>
    <w:bookmarkStart w:id="33" w:name="federal-systems-2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The NARA</w:t>
      </w:r>
      <w:r>
        <w:t xml:space="preserve"> </w:t>
      </w:r>
      <w:hyperlink r:id="rId32">
        <w:r>
          <w:rPr>
            <w:rStyle w:val="Hyperlink"/>
          </w:rPr>
          <w:t xml:space="preserve">General Records Schedule 2.6</w:t>
        </w:r>
      </w:hyperlink>
      <w:r>
        <w:t xml:space="preserve">, Employee Training Records (Transmittal 35, May 2024), item 030, covers individual employee training records:</w:t>
      </w:r>
      <w:r>
        <w:t xml:space="preserve"> </w:t>
      </w:r>
      <w:r>
        <w:t xml:space="preserve">“Destroy when superseded, 3 years old, or 1 year after separation, whichever comes first, but longer retention is authorized if required for business use.”</w:t>
      </w:r>
      <w:r>
        <w:t xml:space="preserve"> </w:t>
      </w:r>
      <w:r>
        <w:t xml:space="preserve">Checked September 2026.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and dispose of individual training records as GRS 2.6 item 030, or the agency’s own approved records schedule, requires. (AT-4b)</w:t>
      </w:r>
    </w:p>
    <w:bookmarkEnd w:id="33"/>
    <w:bookmarkEnd w:id="34"/>
    <w:bookmarkEnd w:id="35"/>
    <w:bookmarkStart w:id="37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awareness and training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(AT-1c.1)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(AT-1c.2)</w:t>
      </w:r>
    </w:p>
    <w:bookmarkStart w:id="36" w:name="federal-systems-3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1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2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2"/>
        </w:numPr>
      </w:pPr>
      <w:r>
        <w:t xml:space="preserve">Where the agency’s organization-wide policy sets a value for a parameter in this policy, each system shall use that value or a stricter one. (AT-1a.1(b))</w:t>
      </w:r>
    </w:p>
    <w:bookmarkEnd w:id="36"/>
    <w:bookmarkEnd w:id="37"/>
    <w:bookmarkEnd w:id="38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Awareness and Training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5" Target="https://csrc.nist.gov/pubs/sp/800/181/r1/final" TargetMode="External" /><Relationship Type="http://schemas.openxmlformats.org/officeDocument/2006/relationships/hyperlink" Id="rId31" Target="https://kston83.github.io/nist-guide/templates/forms/training-record-log/" TargetMode="External" /><Relationship Type="http://schemas.openxmlformats.org/officeDocument/2006/relationships/hyperlink" Id="rId19" Target="https://kston83.github.io/nist-guide/templates/plans/security-and-privacy-training-plan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9" Target="https://kston83.github.io/nist-guide/templates/policies/pt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32" Target="https://www.archives.gov/files/records-mgmt/grs/grs02-6.pdf" TargetMode="External" /><Relationship Type="http://schemas.openxmlformats.org/officeDocument/2006/relationships/hyperlink" Id="rId20" Target="https://www.ecfr.gov/current/title-5/chapter-I/subchapter-B/part-930/subpart-C/section-930.301" TargetMode="External" /><Relationship Type="http://schemas.openxmlformats.org/officeDocument/2006/relationships/hyperlink" Id="rId26" Target="https://www.nist.gov/itl/applied-cybersecurity/nice/nice-framework-resource-center/nice-framework-current-versions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5" Target="https://csrc.nist.gov/pubs/sp/800/181/r1/final" TargetMode="External" /><Relationship Type="http://schemas.openxmlformats.org/officeDocument/2006/relationships/hyperlink" Id="rId31" Target="https://kston83.github.io/nist-guide/templates/forms/training-record-log/" TargetMode="External" /><Relationship Type="http://schemas.openxmlformats.org/officeDocument/2006/relationships/hyperlink" Id="rId19" Target="https://kston83.github.io/nist-guide/templates/plans/security-and-privacy-training-plan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9" Target="https://kston83.github.io/nist-guide/templates/policies/pt/" TargetMode="External" /><Relationship Type="http://schemas.openxmlformats.org/officeDocument/2006/relationships/hyperlink" Id="rId21" Target="https://uscode.house.gov/view.xhtml?req=granuleid:USC-prelim-title44-section3554&amp;num=0&amp;edition=prelim" TargetMode="External" /><Relationship Type="http://schemas.openxmlformats.org/officeDocument/2006/relationships/hyperlink" Id="rId32" Target="https://www.archives.gov/files/records-mgmt/grs/grs02-6.pdf" TargetMode="External" /><Relationship Type="http://schemas.openxmlformats.org/officeDocument/2006/relationships/hyperlink" Id="rId20" Target="https://www.ecfr.gov/current/title-5/chapter-I/subchapter-B/part-930/subpart-C/section-930.301" TargetMode="External" /><Relationship Type="http://schemas.openxmlformats.org/officeDocument/2006/relationships/hyperlink" Id="rId26" Target="https://www.nist.gov/itl/applied-cybersecurity/nice/nice-framework-resource-center/nice-framework-current-versions" TargetMode="External" /><Relationship Type="http://schemas.openxmlformats.org/officeDocument/2006/relationships/hyperlink" Id="rId22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