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2" w:name="audit-and-accountability-policy"/>
    <w:p>
      <w:pPr>
        <w:pStyle w:val="Heading1"/>
      </w:pPr>
      <w:r>
        <w:t xml:space="preserve">Audit and Accountability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https://kston83.github.io/nist-guide/templates/policies/au/</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AU-1,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AU-1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Audit and Accountability, and who is accountable for meeting those requirements. (AU-1a.1(a))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(AU-1a.1(a))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(AU-1a.1(a))</w:t>
      </w:r>
    </w:p>
    <w:p>
      <w:pPr>
        <w:pStyle w:val="Compact"/>
        <w:numPr>
          <w:ilvl w:val="0"/>
          <w:numId w:val="1001"/>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manage the development, documentation and dissemination of this policy and its procedures. (AU-1b)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(AU-1a.1(a))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(AU-1a.1(a))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(AU-1a.1(a))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(AU-1a.1(a))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(AU-1a.1(b))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(AU-1a.1(a))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(AU-1a.1(a))</w:t>
      </w:r>
    </w:p>
    <w:p>
      <w:pPr>
        <w:pStyle w:val="Compact"/>
        <w:numPr>
          <w:ilvl w:val="0"/>
          <w:numId w:val="1002"/>
        </w:numPr>
      </w:pPr>
      <w:r>
        <w:t xml:space="preserve">Violations of this policy shall be handled through the organization’s sanctions process. (AU-1a.1(a))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ensure that documented procedures exist to implement this policy and its associated controls. (AU-1a.2)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audit and accountability policy is to be disseminated. Typical: everyone within its scope, through the policy library]</w:t>
      </w:r>
      <w:r>
        <w:t xml:space="preserve">. (AU-1a)</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audit and accountability procedures are to be disseminated. Typical: the people who carry them out, and the system owners]</w:t>
      </w:r>
      <w:r>
        <w:t xml:space="preserve">. (AU-1a)</w:t>
      </w:r>
    </w:p>
    <w:bookmarkEnd w:id="18"/>
    <w:bookmarkStart w:id="47"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0" w:name="event-logging-au-2"/>
    <w:p>
      <w:pPr>
        <w:pStyle w:val="Heading3"/>
      </w:pPr>
      <w:r>
        <w:t xml:space="preserve">Event logging (AU-2)</w:t>
      </w:r>
    </w:p>
    <w:p>
      <w:pPr>
        <w:pStyle w:val="Guidance"/>
      </w:pPr>
      <w:r>
        <w:t xml:space="preserve">AU-2 asks for two lists: every event type the system can log, and the subset you actually log, with a reason the subset is enough to investigate an incident. Keep both in the</w:t>
      </w:r>
      <w:r>
        <w:t xml:space="preserve"> </w:t>
      </w:r>
      <w:hyperlink r:id="rId19">
        <w:r>
          <w:rPr>
            <w:rStyle w:val="Hyperlink"/>
          </w:rPr>
          <w:t xml:space="preserve">audit logging standard</w:t>
        </w:r>
      </w:hyperlink>
      <w:r>
        <w:t xml:space="preserve"> </w:t>
      </w:r>
      <w:r>
        <w:t xml:space="preserve">so every system starts from the same list: section 3 holds the organization-wide list and Part B each system’s own. Assessors ask for the rationale (AU-2d) more often than any other item.</w:t>
      </w:r>
    </w:p>
    <w:p>
      <w:pPr>
        <w:pStyle w:val="Compact"/>
        <w:numPr>
          <w:ilvl w:val="0"/>
          <w:numId w:val="1004"/>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04"/>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04"/>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04"/>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20"/>
    <w:bookmarkStart w:id="21" w:name="content-of-audit-records-au-3"/>
    <w:p>
      <w:pPr>
        <w:pStyle w:val="Heading3"/>
      </w:pPr>
      <w:r>
        <w:t xml:space="preserve">Content of audit records (AU-3)</w:t>
      </w:r>
    </w:p>
    <w:p>
      <w:pPr>
        <w:pStyle w:val="Compact"/>
        <w:numPr>
          <w:ilvl w:val="0"/>
          <w:numId w:val="1005"/>
        </w:numPr>
      </w:pPr>
      <w:r>
        <w:t xml:space="preserve">The</w:t>
      </w:r>
      <w:r>
        <w:t xml:space="preserve"> </w:t>
      </w:r>
      <w:r>
        <w:rPr>
          <w:rStyle w:val="Fill-in"/>
        </w:rPr>
        <w:t xml:space="preserve">[System owner]</w:t>
      </w:r>
      <w:r>
        <w:t xml:space="preserve"> </w:t>
      </w:r>
      <w:r>
        <w:t xml:space="preserve">shall ensure audit records establish what type of event occurred, when and where it occurred, its source, its outcome, and the identity of any individuals, subjects or objects associated with it. (AU-3)</w:t>
      </w:r>
    </w:p>
    <w:bookmarkEnd w:id="21"/>
    <w:bookmarkStart w:id="22" w:name="additional-audit-information-au-31"/>
    <w:p>
      <w:pPr>
        <w:pStyle w:val="Heading3"/>
      </w:pPr>
      <w:r>
        <w:t xml:space="preserve">Additional audit information (AU-3(1))</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generates audit records that also contain</w:t>
      </w:r>
      <w:r>
        <w:t xml:space="preserve"> </w:t>
      </w:r>
      <w:r>
        <w:rPr>
          <w:rStyle w:val="Fill-in"/>
        </w:rPr>
        <w:t xml:space="preserve">[Fill in: additional information to be included in audit records. Typical: session and request identifiers, source and destination addresses, and the full command line for privileged commands]</w:t>
      </w:r>
      <w:r>
        <w:t xml:space="preserve">. (AU-3(1))</w:t>
      </w:r>
    </w:p>
    <w:bookmarkEnd w:id="22"/>
    <w:bookmarkStart w:id="23" w:name="audit-log-storage-capacity-au-4"/>
    <w:p>
      <w:pPr>
        <w:pStyle w:val="Heading3"/>
      </w:pPr>
      <w:r>
        <w:t xml:space="preserve">Audit log storage capacity (AU-4)</w:t>
      </w:r>
    </w:p>
    <w:p>
      <w:pPr>
        <w:pStyle w:val="Compact"/>
        <w:numPr>
          <w:ilvl w:val="0"/>
          <w:numId w:val="1007"/>
        </w:numPr>
      </w:pPr>
      <w:r>
        <w:t xml:space="preserve">The</w:t>
      </w:r>
      <w:r>
        <w:t xml:space="preserve"> </w:t>
      </w:r>
      <w:r>
        <w:rPr>
          <w:rStyle w:val="Fill-in"/>
        </w:rPr>
        <w:t xml:space="preserve">[System owner]</w:t>
      </w:r>
      <w:r>
        <w:t xml:space="preserve"> </w:t>
      </w:r>
      <w:r>
        <w:t xml:space="preserve">shall allocate audit log storage capacity to accommodate</w:t>
      </w:r>
      <w:r>
        <w:t xml:space="preserve"> </w:t>
      </w:r>
      <w:r>
        <w:rPr>
          <w:rStyle w:val="Fill-in"/>
        </w:rPr>
        <w:t xml:space="preserve">[Fill in: audit log retention requirements. Typical: the retention period set under AU-11, with room for a year of growth]</w:t>
      </w:r>
      <w:r>
        <w:t xml:space="preserve">. (AU-4)</w:t>
      </w:r>
    </w:p>
    <w:bookmarkEnd w:id="23"/>
    <w:bookmarkStart w:id="24" w:name="X0c3d6e0ff501d0227ddf7f72c3b8ff903e18446"/>
    <w:p>
      <w:pPr>
        <w:pStyle w:val="Heading3"/>
      </w:pPr>
      <w:r>
        <w:t xml:space="preserve">Response to audit logging process failures (AU-5)</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receiving audit logging process failure alerts. Typical: the system administrators and the security operations team]</w:t>
      </w:r>
      <w:r>
        <w:t xml:space="preserve"> </w:t>
      </w:r>
      <w:r>
        <w:t xml:space="preserve">within</w:t>
      </w:r>
      <w:r>
        <w:t xml:space="preserve"> </w:t>
      </w:r>
      <w:r>
        <w:rPr>
          <w:rStyle w:val="Fill-in"/>
        </w:rPr>
        <w:t xml:space="preserve">[Fill in: time period for personnel or roles receiving audit logging process failure alerts. Typical: 1 hour]</w:t>
      </w:r>
      <w:r>
        <w:t xml:space="preserve"> </w:t>
      </w:r>
      <w:r>
        <w:t xml:space="preserve">of an audit logging process failure. (AU-5a)</w:t>
      </w:r>
    </w:p>
    <w:p>
      <w:pPr>
        <w:pStyle w:val="Compact"/>
        <w:numPr>
          <w:ilvl w:val="0"/>
          <w:numId w:val="1008"/>
        </w:numPr>
      </w:pPr>
      <w:r>
        <w:t xml:space="preserve">When an audit logging process fails, the</w:t>
      </w:r>
      <w:r>
        <w:t xml:space="preserve"> </w:t>
      </w:r>
      <w:r>
        <w:rPr>
          <w:rStyle w:val="Fill-in"/>
        </w:rPr>
        <w:t xml:space="preserve">[System owner]</w:t>
      </w:r>
      <w:r>
        <w:t xml:space="preserve"> </w:t>
      </w:r>
      <w:r>
        <w:t xml:space="preserve">shall</w:t>
      </w:r>
      <w:r>
        <w:t xml:space="preserve"> </w:t>
      </w:r>
      <w:r>
        <w:rPr>
          <w:rStyle w:val="Fill-in"/>
        </w:rPr>
        <w:t xml:space="preserve">[Fill in: additional actions to be taken in the event of an audit logging process failure. Typical: restore logging and record the gap in the audit trail; for high-impact systems, stop processing that cannot be logged]</w:t>
      </w:r>
      <w:r>
        <w:t xml:space="preserve">. (AU-5b)</w:t>
      </w:r>
    </w:p>
    <w:bookmarkEnd w:id="24"/>
    <w:bookmarkStart w:id="25" w:name="storage-capacity-warning-au-51"/>
    <w:p>
      <w:pPr>
        <w:pStyle w:val="Heading3"/>
      </w:pPr>
      <w:r>
        <w:t xml:space="preserve">Storage capacity warning (AU-5(1))</w:t>
      </w:r>
    </w:p>
    <w:p>
      <w:pPr>
        <w:pStyle w:val="Compact"/>
        <w:numPr>
          <w:ilvl w:val="0"/>
          <w:numId w:val="1009"/>
        </w:numPr>
      </w:pPr>
      <w:r>
        <w:t xml:space="preserve">The</w:t>
      </w:r>
      <w:r>
        <w:t xml:space="preserve"> </w:t>
      </w:r>
      <w:r>
        <w:rPr>
          <w:rStyle w:val="Fill-in"/>
        </w:rPr>
        <w:t xml:space="preserve">[System owner]</w:t>
      </w:r>
      <w:r>
        <w:t xml:space="preserve"> </w:t>
      </w:r>
      <w:r>
        <w:t xml:space="preserve">shall ensure the system warns</w:t>
      </w:r>
      <w:r>
        <w:t xml:space="preserve"> </w:t>
      </w:r>
      <w:r>
        <w:rPr>
          <w:rStyle w:val="Fill-in"/>
        </w:rPr>
        <w:t xml:space="preserve">[Fill in: personnel, roles, and/or locations to be warned when allocated audit log storage volume reaches a percentage of repository maximum audit log storage capacity. Typical: the system administrators and the security operations team]</w:t>
      </w:r>
      <w:r>
        <w:t xml:space="preserve"> </w:t>
      </w:r>
      <w:r>
        <w:t xml:space="preserve">within</w:t>
      </w:r>
      <w:r>
        <w:t xml:space="preserve"> </w:t>
      </w:r>
      <w:r>
        <w:rPr>
          <w:rStyle w:val="Fill-in"/>
        </w:rPr>
        <w:t xml:space="preserve">[Fill in: time period for defined personnel, roles, and/or locations to be warned when allocated audit log storage volume reaches a percentage of repository maximum audit log storage capacity. Typical: 1 hour]</w:t>
      </w:r>
      <w:r>
        <w:t xml:space="preserve"> </w:t>
      </w:r>
      <w:r>
        <w:t xml:space="preserve">when allocated audit log storage reaches</w:t>
      </w:r>
      <w:r>
        <w:t xml:space="preserve"> </w:t>
      </w:r>
      <w:r>
        <w:rPr>
          <w:rStyle w:val="Fill-in"/>
        </w:rPr>
        <w:t xml:space="preserve">[Fill in: percentage of repository maximum audit log storage capacity. Typical: 75 percent]</w:t>
      </w:r>
      <w:r>
        <w:t xml:space="preserve"> </w:t>
      </w:r>
      <w:r>
        <w:t xml:space="preserve">of the repository’s maximum capacity. (AU-5(1))</w:t>
      </w:r>
    </w:p>
    <w:bookmarkEnd w:id="25"/>
    <w:bookmarkStart w:id="26" w:name="real-time-alerts-au-52"/>
    <w:p>
      <w:pPr>
        <w:pStyle w:val="Heading3"/>
      </w:pPr>
      <w:r>
        <w:t xml:space="preserve">Real-time alerts (AU-5(2))</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roles, and/or locations to be alerted in real time when audit failure events occur. Typical: the security operations team]</w:t>
      </w:r>
      <w:r>
        <w:t xml:space="preserve"> </w:t>
      </w:r>
      <w:r>
        <w:t xml:space="preserve">within</w:t>
      </w:r>
      <w:r>
        <w:t xml:space="preserve"> </w:t>
      </w:r>
      <w:r>
        <w:rPr>
          <w:rStyle w:val="Fill-in"/>
        </w:rPr>
        <w:t xml:space="preserve">[Fill in: real-time period requiring alerts when audit failure events occur. Typical: 15 minutes]</w:t>
      </w:r>
      <w:r>
        <w:t xml:space="preserve"> </w:t>
      </w:r>
      <w:r>
        <w:t xml:space="preserve">when any of these audit failure events occur:</w:t>
      </w:r>
      <w:r>
        <w:t xml:space="preserve"> </w:t>
      </w:r>
      <w:r>
        <w:rPr>
          <w:rStyle w:val="Fill-in"/>
        </w:rPr>
        <w:t xml:space="preserve">[Fill in: audit logging failure events requiring real-time alerts. Typical: loss of log forwarding from any component, and failure of the central log repository]</w:t>
      </w:r>
      <w:r>
        <w:t xml:space="preserve">. (AU-5(2))</w:t>
      </w:r>
    </w:p>
    <w:bookmarkEnd w:id="26"/>
    <w:bookmarkStart w:id="28" w:name="X937e91f9c44195ea7a0333189012736b1eb96cb"/>
    <w:p>
      <w:pPr>
        <w:pStyle w:val="Heading3"/>
      </w:pPr>
      <w:r>
        <w:t xml:space="preserve">Audit record review, analysis and reporting (AU-6)</w:t>
      </w:r>
    </w:p>
    <w:p>
      <w:pPr>
        <w:pStyle w:val="Guidance"/>
      </w:pPr>
      <w:r>
        <w:t xml:space="preserve">Most findings under AU-6 are about evidence, not effort: the review happened but left no record. Keep a dated record of each review with what was looked at, what was found and who it was reported to. The</w:t>
      </w:r>
      <w:r>
        <w:t xml:space="preserve"> </w:t>
      </w:r>
      <w:hyperlink r:id="rId27">
        <w:r>
          <w:rPr>
            <w:rStyle w:val="Hyperlink"/>
          </w:rPr>
          <w:t xml:space="preserve">log review procedure</w:t>
        </w:r>
      </w:hyperlink>
      <w:r>
        <w:t xml:space="preserve"> </w:t>
      </w:r>
      <w:r>
        <w:t xml:space="preserve">lists the activity the review looks for in its section 3 and names the record each step leaves.</w:t>
      </w:r>
    </w:p>
    <w:p>
      <w:pPr>
        <w:pStyle w:val="Compact"/>
        <w:numPr>
          <w:ilvl w:val="0"/>
          <w:numId w:val="1011"/>
        </w:numPr>
      </w:pPr>
      <w:r>
        <w:t xml:space="preserve">The</w:t>
      </w:r>
      <w:r>
        <w:t xml:space="preserve"> </w:t>
      </w:r>
      <w:r>
        <w:rPr>
          <w:rStyle w:val="Fill-in"/>
        </w:rPr>
        <w:t xml:space="preserve">[Security operations team]</w:t>
      </w:r>
      <w:r>
        <w:t xml:space="preserve"> </w:t>
      </w:r>
      <w:r>
        <w:t xml:space="preserve">shall review and analyze system audit records</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w:t>
      </w:r>
      <w:r>
        <w:t xml:space="preserve">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(AU-6a)</w:t>
      </w:r>
    </w:p>
    <w:p>
      <w:pPr>
        <w:pStyle w:val="Compact"/>
        <w:numPr>
          <w:ilvl w:val="0"/>
          <w:numId w:val="1011"/>
        </w:numPr>
      </w:pPr>
      <w:r>
        <w:t xml:space="preserve">The</w:t>
      </w:r>
      <w:r>
        <w:t xml:space="preserve"> </w:t>
      </w:r>
      <w:r>
        <w:rPr>
          <w:rStyle w:val="Fill-in"/>
        </w:rPr>
        <w:t xml:space="preserve">[Security operations team]</w:t>
      </w:r>
      <w:r>
        <w:t xml:space="preserve"> </w:t>
      </w:r>
      <w:r>
        <w:t xml:space="preserve">shall report findings to</w:t>
      </w:r>
      <w:r>
        <w:t xml:space="preserve"> </w:t>
      </w:r>
      <w:r>
        <w:rPr>
          <w:rStyle w:val="Fill-in"/>
        </w:rPr>
        <w:t xml:space="preserve">[Fill in: personnel or roles to receive findings from reviews and analyses of system records. Typical: the system owner and the incident response team]</w:t>
      </w:r>
      <w:r>
        <w:t xml:space="preserve">. (AU-6b)</w:t>
      </w:r>
    </w:p>
    <w:p>
      <w:pPr>
        <w:pStyle w:val="Compact"/>
        <w:numPr>
          <w:ilvl w:val="0"/>
          <w:numId w:val="1011"/>
        </w:numPr>
      </w:pPr>
      <w:r>
        <w:t xml:space="preserve">The</w:t>
      </w:r>
      <w:r>
        <w:t xml:space="preserve"> </w:t>
      </w:r>
      <w:r>
        <w:rPr>
          <w:rStyle w:val="Fill-in"/>
        </w:rPr>
        <w:t xml:space="preserve">[Security operations team]</w:t>
      </w:r>
      <w:r>
        <w:t xml:space="preserve"> </w:t>
      </w:r>
      <w:r>
        <w:t xml:space="preserve">shall adjust the level of audit record review, analysis and reporting when law enforcement information, intelligence information or other credible sources indicate a change in risk. (AU-6c)</w:t>
      </w:r>
    </w:p>
    <w:bookmarkEnd w:id="28"/>
    <w:bookmarkStart w:id="29" w:name="automated-process-integration-au-61"/>
    <w:p>
      <w:pPr>
        <w:pStyle w:val="Heading3"/>
      </w:pPr>
      <w:r>
        <w:t xml:space="preserve">Automated process integration (AU-6(1))</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integrate audit record review, analysis and reporting processes using</w:t>
      </w:r>
      <w:r>
        <w:t xml:space="preserve"> </w:t>
      </w:r>
      <w:r>
        <w:rPr>
          <w:rStyle w:val="Fill-in"/>
        </w:rPr>
        <w:t xml:space="preserve">[Fill in: automated mechanisms used for integrating audit record review, analysis, and reporting processes. Typical: a security information and event management (SIEM) platform]</w:t>
      </w:r>
      <w:r>
        <w:t xml:space="preserve">. (AU-6(1))</w:t>
      </w:r>
    </w:p>
    <w:bookmarkEnd w:id="29"/>
    <w:bookmarkStart w:id="30" w:name="X1effe56ae23e5b3498808f260a11792f27bea77"/>
    <w:p>
      <w:pPr>
        <w:pStyle w:val="Heading3"/>
      </w:pPr>
      <w:r>
        <w:t xml:space="preserve">Correlate audit record repositories (AU-6(3))</w:t>
      </w:r>
    </w:p>
    <w:p>
      <w:pPr>
        <w:pStyle w:val="Compact"/>
        <w:numPr>
          <w:ilvl w:val="0"/>
          <w:numId w:val="1013"/>
        </w:numPr>
      </w:pPr>
      <w:r>
        <w:t xml:space="preserve">The</w:t>
      </w:r>
      <w:r>
        <w:t xml:space="preserve"> </w:t>
      </w:r>
      <w:r>
        <w:rPr>
          <w:rStyle w:val="Fill-in"/>
        </w:rPr>
        <w:t xml:space="preserve">[Security operations team]</w:t>
      </w:r>
      <w:r>
        <w:t xml:space="preserve"> </w:t>
      </w:r>
      <w:r>
        <w:t xml:space="preserve">shall analyze and correlate audit records across repositories to gain organization-wide situational awareness. (AU-6(3))</w:t>
      </w:r>
    </w:p>
    <w:bookmarkEnd w:id="30"/>
    <w:bookmarkStart w:id="31" w:name="X6d982ff7634f5b00f3875700c054582d1a51975"/>
    <w:p>
      <w:pPr>
        <w:pStyle w:val="Heading3"/>
      </w:pPr>
      <w:r>
        <w:t xml:space="preserve">Integrated analysis of audit records (AU-6(5))</w:t>
      </w:r>
    </w:p>
    <w:p>
      <w:pPr>
        <w:pStyle w:val="Compact"/>
        <w:numPr>
          <w:ilvl w:val="0"/>
          <w:numId w:val="1014"/>
        </w:numPr>
      </w:pPr>
      <w:r>
        <w:t xml:space="preserve">The</w:t>
      </w:r>
      <w:r>
        <w:t xml:space="preserve"> </w:t>
      </w:r>
      <w:r>
        <w:rPr>
          <w:rStyle w:val="Fill-in"/>
        </w:rPr>
        <w:t xml:space="preserve">[Security operations team]</w:t>
      </w:r>
      <w:r>
        <w:t xml:space="preserve"> </w:t>
      </w:r>
      <w:r>
        <w:t xml:space="preserve">shall integrate analysis of audit records with analysis of</w:t>
      </w:r>
      <w:r>
        <w:t xml:space="preserve"> </w:t>
      </w:r>
      <w:r>
        <w:rPr>
          <w:rStyle w:val="Fill-in"/>
        </w:rPr>
        <w:t xml:space="preserve">[Select one or more: vulnerability scanning information; performance data; system monitoring information; [Assignment: organization-defined data/information collected from other sources]. Typical: vulnerability scanning information and system monitoring information]</w:t>
      </w:r>
      <w:r>
        <w:t xml:space="preserve"> </w:t>
      </w:r>
      <w:r>
        <w:t xml:space="preserve">to improve the identification of inappropriate or unusual activity. (AU-6(5))</w:t>
      </w:r>
    </w:p>
    <w:bookmarkEnd w:id="31"/>
    <w:bookmarkStart w:id="32" w:name="Xec7ed5b2e2227589c03cfabc4a7dccef8863845"/>
    <w:p>
      <w:pPr>
        <w:pStyle w:val="Heading3"/>
      </w:pPr>
      <w:r>
        <w:t xml:space="preserve">Correlation with physical monitoring (AU-6(6))</w:t>
      </w:r>
    </w:p>
    <w:p>
      <w:pPr>
        <w:pStyle w:val="Compact"/>
        <w:numPr>
          <w:ilvl w:val="0"/>
          <w:numId w:val="1015"/>
        </w:numPr>
      </w:pPr>
      <w:r>
        <w:t xml:space="preserve">The</w:t>
      </w:r>
      <w:r>
        <w:t xml:space="preserve"> </w:t>
      </w:r>
      <w:r>
        <w:rPr>
          <w:rStyle w:val="Fill-in"/>
        </w:rPr>
        <w:t xml:space="preserve">[Security operations team]</w:t>
      </w:r>
      <w:r>
        <w:t xml:space="preserve"> </w:t>
      </w:r>
      <w:r>
        <w:t xml:space="preserve">shall correlate information from audit records with information from physical access monitoring to identify suspicious, inappropriate, unusual or malevolent activity. (AU-6(6))</w:t>
      </w:r>
    </w:p>
    <w:bookmarkEnd w:id="32"/>
    <w:bookmarkStart w:id="33" w:name="X21d2c0a901498daf90cd3097cf196dc061f294b"/>
    <w:p>
      <w:pPr>
        <w:pStyle w:val="Heading3"/>
      </w:pPr>
      <w:r>
        <w:t xml:space="preserve">Audit record reduction and report generation (AU-7)</w:t>
      </w:r>
    </w:p>
    <w:p>
      <w:pPr>
        <w:pStyle w:val="Compact"/>
        <w:numPr>
          <w:ilvl w:val="0"/>
          <w:numId w:val="1016"/>
        </w:numPr>
      </w:pPr>
      <w:r>
        <w:t xml:space="preserve">The</w:t>
      </w:r>
      <w:r>
        <w:t xml:space="preserve"> </w:t>
      </w:r>
      <w:r>
        <w:rPr>
          <w:rStyle w:val="Fill-in"/>
        </w:rPr>
        <w:t xml:space="preserve">[System owner]</w:t>
      </w:r>
      <w:r>
        <w:t xml:space="preserve"> </w:t>
      </w:r>
      <w:r>
        <w:t xml:space="preserve">shall provide and implement an audit record reduction and report generation capability that supports on-demand review, analysis and reporting and after-the-fact investigation of incidents. (AU-7a)</w:t>
      </w:r>
    </w:p>
    <w:p>
      <w:pPr>
        <w:pStyle w:val="Compact"/>
        <w:numPr>
          <w:ilvl w:val="0"/>
          <w:numId w:val="1016"/>
        </w:numPr>
      </w:pPr>
      <w:r>
        <w:t xml:space="preserve">The</w:t>
      </w:r>
      <w:r>
        <w:t xml:space="preserve"> </w:t>
      </w:r>
      <w:r>
        <w:rPr>
          <w:rStyle w:val="Fill-in"/>
        </w:rPr>
        <w:t xml:space="preserve">[System owner]</w:t>
      </w:r>
      <w:r>
        <w:t xml:space="preserve"> </w:t>
      </w:r>
      <w:r>
        <w:t xml:space="preserve">shall ensure that capability does not alter the original content or time ordering of audit records. (AU-7b)</w:t>
      </w:r>
    </w:p>
    <w:bookmarkEnd w:id="33"/>
    <w:bookmarkStart w:id="34" w:name="automatic-processing-au-71"/>
    <w:p>
      <w:pPr>
        <w:pStyle w:val="Heading3"/>
      </w:pPr>
      <w:r>
        <w:t xml:space="preserve">Automatic processing (AU-7(1))</w:t>
      </w:r>
    </w:p>
    <w:p>
      <w:pPr>
        <w:pStyle w:val="Compact"/>
        <w:numPr>
          <w:ilvl w:val="0"/>
          <w:numId w:val="1017"/>
        </w:numPr>
      </w:pPr>
      <w:r>
        <w:t xml:space="preserve">The</w:t>
      </w:r>
      <w:r>
        <w:t xml:space="preserve"> </w:t>
      </w:r>
      <w:r>
        <w:rPr>
          <w:rStyle w:val="Fill-in"/>
        </w:rPr>
        <w:t xml:space="preserve">[System owner]</w:t>
      </w:r>
      <w:r>
        <w:t xml:space="preserve"> </w:t>
      </w:r>
      <w:r>
        <w:t xml:space="preserve">shall provide and implement the capability to process, sort and search audit records for events of interest based on</w:t>
      </w:r>
      <w:r>
        <w:t xml:space="preserve"> </w:t>
      </w:r>
      <w:r>
        <w:rPr>
          <w:rStyle w:val="Fill-in"/>
        </w:rPr>
        <w:t xml:space="preserve">[Fill in: fields within audit records that can be processed, sorted, or searched. Typical: event type, time, source and destination, user identity, outcome and system component]</w:t>
      </w:r>
      <w:r>
        <w:t xml:space="preserve">. (AU-7(1))</w:t>
      </w:r>
    </w:p>
    <w:bookmarkEnd w:id="34"/>
    <w:bookmarkStart w:id="35" w:name="time-stamps-au-8"/>
    <w:p>
      <w:pPr>
        <w:pStyle w:val="Heading3"/>
      </w:pPr>
      <w:r>
        <w:t xml:space="preserve">Time stamps (AU-8)</w:t>
      </w:r>
    </w:p>
    <w:p>
      <w:pPr>
        <w:pStyle w:val="Compact"/>
        <w:numPr>
          <w:ilvl w:val="0"/>
          <w:numId w:val="1018"/>
        </w:numPr>
      </w:pPr>
      <w:r>
        <w:t xml:space="preserve">The</w:t>
      </w:r>
      <w:r>
        <w:t xml:space="preserve"> </w:t>
      </w:r>
      <w:r>
        <w:rPr>
          <w:rStyle w:val="Fill-in"/>
        </w:rPr>
        <w:t xml:space="preserve">[System owner]</w:t>
      </w:r>
      <w:r>
        <w:t xml:space="preserve"> </w:t>
      </w:r>
      <w:r>
        <w:t xml:space="preserve">shall ensure the system uses internal system clocks to generate time stamps for audit records. (AU-8a)</w:t>
      </w:r>
    </w:p>
    <w:p>
      <w:pPr>
        <w:pStyle w:val="Compact"/>
        <w:numPr>
          <w:ilvl w:val="0"/>
          <w:numId w:val="1018"/>
        </w:numPr>
      </w:pPr>
      <w:r>
        <w:t xml:space="preserve">The</w:t>
      </w:r>
      <w:r>
        <w:t xml:space="preserve"> </w:t>
      </w:r>
      <w:r>
        <w:rPr>
          <w:rStyle w:val="Fill-in"/>
        </w:rPr>
        <w:t xml:space="preserve">[System owner]</w:t>
      </w:r>
      <w:r>
        <w:t xml:space="preserve"> </w:t>
      </w:r>
      <w:r>
        <w:t xml:space="preserve">shall ensure audit record time stamps meet a granularity of</w:t>
      </w:r>
      <w:r>
        <w:t xml:space="preserve"> </w:t>
      </w:r>
      <w:r>
        <w:rPr>
          <w:rStyle w:val="Fill-in"/>
        </w:rPr>
        <w:t xml:space="preserve">[Fill in: granularity of time measurement for audit record timestamps. Typical: one second or finer]</w:t>
      </w:r>
      <w:r>
        <w:t xml:space="preserve"> </w:t>
      </w:r>
      <w:r>
        <w:t xml:space="preserve">and use Coordinated Universal Time, a fixed offset from it, or include the local offset in the time stamp. (AU-8b)</w:t>
      </w:r>
    </w:p>
    <w:bookmarkEnd w:id="35"/>
    <w:bookmarkStart w:id="36" w:name="protection-of-audit-information-au-9"/>
    <w:p>
      <w:pPr>
        <w:pStyle w:val="Heading3"/>
      </w:pPr>
      <w:r>
        <w:t xml:space="preserve">Protection of audit information (AU-9)</w:t>
      </w:r>
    </w:p>
    <w:p>
      <w:pPr>
        <w:pStyle w:val="Compact"/>
        <w:numPr>
          <w:ilvl w:val="0"/>
          <w:numId w:val="1019"/>
        </w:numPr>
      </w:pPr>
      <w:r>
        <w:t xml:space="preserve">The</w:t>
      </w:r>
      <w:r>
        <w:t xml:space="preserve"> </w:t>
      </w:r>
      <w:r>
        <w:rPr>
          <w:rStyle w:val="Fill-in"/>
        </w:rPr>
        <w:t xml:space="preserve">[System owner]</w:t>
      </w:r>
      <w:r>
        <w:t xml:space="preserve"> </w:t>
      </w:r>
      <w:r>
        <w:t xml:space="preserve">shall protect audit information and audit logging tools from unauthorized access, modification and deletion. (AU-9a)</w:t>
      </w:r>
    </w:p>
    <w:p>
      <w:pPr>
        <w:pStyle w:val="Compact"/>
        <w:numPr>
          <w:ilvl w:val="0"/>
          <w:numId w:val="1019"/>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upon detection of unauthorized access, modification, or deletion of audit information. Typical: the security operations team and the system owner]</w:t>
      </w:r>
      <w:r>
        <w:t xml:space="preserve"> </w:t>
      </w:r>
      <w:r>
        <w:t xml:space="preserve">are alerted when unauthorized access, modification or deletion of audit information is detected. (AU-9b)</w:t>
      </w:r>
    </w:p>
    <w:bookmarkEnd w:id="36"/>
    <w:bookmarkStart w:id="37" w:name="X01abdaea8e8fcece1789c6cba419bd148117116"/>
    <w:p>
      <w:pPr>
        <w:pStyle w:val="Heading3"/>
      </w:pPr>
      <w:r>
        <w:t xml:space="preserve">Store on separate physical systems or components (AU-9(2))</w:t>
      </w:r>
    </w:p>
    <w:p>
      <w:pPr>
        <w:pStyle w:val="Compact"/>
        <w:numPr>
          <w:ilvl w:val="0"/>
          <w:numId w:val="1020"/>
        </w:numPr>
      </w:pPr>
      <w:r>
        <w:t xml:space="preserve">The</w:t>
      </w:r>
      <w:r>
        <w:t xml:space="preserve"> </w:t>
      </w:r>
      <w:r>
        <w:rPr>
          <w:rStyle w:val="Fill-in"/>
        </w:rPr>
        <w:t xml:space="preserve">[System owner]</w:t>
      </w:r>
      <w:r>
        <w:t xml:space="preserve"> </w:t>
      </w:r>
      <w:r>
        <w:t xml:space="preserve">shall ensure audit records are stored</w:t>
      </w:r>
      <w:r>
        <w:t xml:space="preserve"> </w:t>
      </w:r>
      <w:r>
        <w:rPr>
          <w:rStyle w:val="Fill-in"/>
        </w:rPr>
        <w:t xml:space="preserve">[Fill in: the frequency of storing audit records in a repository. Typical: in near real time]</w:t>
      </w:r>
      <w:r>
        <w:t xml:space="preserve"> </w:t>
      </w:r>
      <w:r>
        <w:t xml:space="preserve">in a repository on a physically different system or component than the one being audited. (AU-9(2))</w:t>
      </w:r>
    </w:p>
    <w:bookmarkEnd w:id="37"/>
    <w:bookmarkStart w:id="38" w:name="X4c85aed3d2d1458dea304c971756991a85b63c4"/>
    <w:p>
      <w:pPr>
        <w:pStyle w:val="Heading3"/>
      </w:pPr>
      <w:r>
        <w:t xml:space="preserve">Cryptographic protection of audit information (AU-9(3))</w:t>
      </w:r>
    </w:p>
    <w:p>
      <w:pPr>
        <w:pStyle w:val="Compact"/>
        <w:numPr>
          <w:ilvl w:val="0"/>
          <w:numId w:val="1021"/>
        </w:numPr>
      </w:pPr>
      <w:r>
        <w:t xml:space="preserve">The</w:t>
      </w:r>
      <w:r>
        <w:t xml:space="preserve"> </w:t>
      </w:r>
      <w:r>
        <w:rPr>
          <w:rStyle w:val="Fill-in"/>
        </w:rPr>
        <w:t xml:space="preserve">[System owner]</w:t>
      </w:r>
      <w:r>
        <w:t xml:space="preserve"> </w:t>
      </w:r>
      <w:r>
        <w:t xml:space="preserve">shall ensure cryptographic mechanisms protect the integrity of audit information and audit tools. (AU-9(3))</w:t>
      </w:r>
    </w:p>
    <w:bookmarkEnd w:id="38"/>
    <w:bookmarkStart w:id="39" w:name="X0baaef2f05535a9bb13d04d730e2e74635dc82c"/>
    <w:p>
      <w:pPr>
        <w:pStyle w:val="Heading3"/>
      </w:pPr>
      <w:r>
        <w:t xml:space="preserve">Access by subset of privileged users (AU-9(4))</w:t>
      </w:r>
    </w:p>
    <w:p>
      <w:pPr>
        <w:pStyle w:val="Compact"/>
        <w:numPr>
          <w:ilvl w:val="0"/>
          <w:numId w:val="1022"/>
        </w:numPr>
      </w:pPr>
      <w:r>
        <w:t xml:space="preserve">The</w:t>
      </w:r>
      <w:r>
        <w:t xml:space="preserve"> </w:t>
      </w:r>
      <w:r>
        <w:rPr>
          <w:rStyle w:val="Fill-in"/>
        </w:rPr>
        <w:t xml:space="preserve">[System owner]</w:t>
      </w:r>
      <w:r>
        <w:t xml:space="preserve"> </w:t>
      </w:r>
      <w:r>
        <w:t xml:space="preserve">shall authorize access to management of audit logging functionality only for</w:t>
      </w:r>
      <w:r>
        <w:t xml:space="preserve"> </w:t>
      </w:r>
      <w:r>
        <w:rPr>
          <w:rStyle w:val="Fill-in"/>
        </w:rPr>
        <w:t xml:space="preserve">[Fill in: a subset of privileged users or roles authorized to access management of audit logging functionality. Typical: the security operations administrators, who do not administer the systems being audited]</w:t>
      </w:r>
      <w:r>
        <w:t xml:space="preserve">. (AU-9(4))</w:t>
      </w:r>
    </w:p>
    <w:bookmarkEnd w:id="39"/>
    <w:bookmarkStart w:id="40" w:name="non-repudiation-au-10"/>
    <w:p>
      <w:pPr>
        <w:pStyle w:val="Heading3"/>
      </w:pPr>
      <w:r>
        <w:t xml:space="preserve">Non-repudiation (AU-10)</w:t>
      </w:r>
    </w:p>
    <w:p>
      <w:pPr>
        <w:pStyle w:val="Compact"/>
        <w:numPr>
          <w:ilvl w:val="0"/>
          <w:numId w:val="1023"/>
        </w:numPr>
      </w:pPr>
      <w:r>
        <w:t xml:space="preserve">The</w:t>
      </w:r>
      <w:r>
        <w:t xml:space="preserve"> </w:t>
      </w:r>
      <w:r>
        <w:rPr>
          <w:rStyle w:val="Fill-in"/>
        </w:rPr>
        <w:t xml:space="preserve">[System owner]</w:t>
      </w:r>
      <w:r>
        <w:t xml:space="preserve"> </w:t>
      </w:r>
      <w:r>
        <w:t xml:space="preserve">shall ensure the system provides irrefutable evidence that an individual, or a process acting on behalf of an individual, has performed</w:t>
      </w:r>
      <w:r>
        <w:t xml:space="preserve"> </w:t>
      </w:r>
      <w:r>
        <w:rPr>
          <w:rStyle w:val="Fill-in"/>
        </w:rPr>
        <w:t xml:space="preserve">[Fill in: actions to be covered by non-repudiation. Typical: approving access and changes, signing records, and administering security settings]</w:t>
      </w:r>
      <w:r>
        <w:t xml:space="preserve">. (AU-10)</w:t>
      </w:r>
    </w:p>
    <w:bookmarkEnd w:id="40"/>
    <w:bookmarkStart w:id="43" w:name="audit-record-retention-au-11"/>
    <w:p>
      <w:pPr>
        <w:pStyle w:val="Heading3"/>
      </w:pPr>
      <w:r>
        <w:t xml:space="preserve">Audit record retention (AU-11)</w:t>
      </w:r>
    </w:p>
    <w:p>
      <w:pPr>
        <w:pStyle w:val="Compact"/>
        <w:numPr>
          <w:ilvl w:val="0"/>
          <w:numId w:val="1024"/>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42" w:name="federal-systems"/>
    <w:p>
      <w:pPr>
        <w:pStyle w:val="Heading4"/>
      </w:pPr>
      <w:r>
        <w:t xml:space="preserve">Federal systems</w:t>
      </w:r>
    </w:p>
    <w:p>
      <w:pPr>
        <w:pStyle w:val="FirstParagraph"/>
      </w:pPr>
      <w:hyperlink r:id="rId41">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25"/>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42"/>
    <w:bookmarkEnd w:id="43"/>
    <w:bookmarkStart w:id="44" w:name="audit-record-generation-au-12"/>
    <w:p>
      <w:pPr>
        <w:pStyle w:val="Heading3"/>
      </w:pPr>
      <w:r>
        <w:t xml:space="preserve">Audit record generation (AU-12)</w:t>
      </w:r>
    </w:p>
    <w:p>
      <w:pPr>
        <w:pStyle w:val="Compact"/>
        <w:numPr>
          <w:ilvl w:val="0"/>
          <w:numId w:val="1026"/>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system components that provide an audit record generation capability for the events types. Typical: all servers, network devices, security tools, databases and applications in the system boundary]</w:t>
      </w:r>
      <w:r>
        <w:t xml:space="preserve"> </w:t>
      </w:r>
      <w:r>
        <w:t xml:space="preserve">provide an audit record generation capability for the event types identified under AU-2a. (AU-12a)</w:t>
      </w:r>
    </w:p>
    <w:p>
      <w:pPr>
        <w:pStyle w:val="Compact"/>
        <w:numPr>
          <w:ilvl w:val="0"/>
          <w:numId w:val="1026"/>
        </w:numPr>
      </w:pPr>
      <w:r>
        <w:t xml:space="preserve">The</w:t>
      </w:r>
      <w:r>
        <w:t xml:space="preserve"> </w:t>
      </w:r>
      <w:r>
        <w:rPr>
          <w:rStyle w:val="Fill-in"/>
        </w:rPr>
        <w:t xml:space="preserve">[System owner]</w:t>
      </w:r>
      <w:r>
        <w:t xml:space="preserve"> </w:t>
      </w:r>
      <w:r>
        <w:t xml:space="preserve">shall allow only</w:t>
      </w:r>
      <w:r>
        <w:t xml:space="preserve"> </w:t>
      </w:r>
      <w:r>
        <w:rPr>
          <w:rStyle w:val="Fill-in"/>
        </w:rPr>
        <w:t xml:space="preserve">[Fill in: personnel or roles allowed to select the event types that are to be logged by specific components of the system. Typical: the system administrators, with the security operations team approving changes]</w:t>
      </w:r>
      <w:r>
        <w:t xml:space="preserve"> </w:t>
      </w:r>
      <w:r>
        <w:t xml:space="preserve">to select the event types logged by specific components of the system. (AU-12b)</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system generates audit records for the event types specified under AU-2c, with the content required by AU-3. (AU-12c)</w:t>
      </w:r>
    </w:p>
    <w:bookmarkEnd w:id="44"/>
    <w:bookmarkStart w:id="45" w:name="Xf7159e294f8432f5907814bb1ad51c12b7631cb"/>
    <w:p>
      <w:pPr>
        <w:pStyle w:val="Heading3"/>
      </w:pPr>
      <w:r>
        <w:t xml:space="preserve">System-wide and time-correlated audit trail (AU-12(1))</w:t>
      </w:r>
    </w:p>
    <w:p>
      <w:pPr>
        <w:pStyle w:val="Compact"/>
        <w:numPr>
          <w:ilvl w:val="0"/>
          <w:numId w:val="1027"/>
        </w:numPr>
      </w:pPr>
      <w:r>
        <w:t xml:space="preserve">The</w:t>
      </w:r>
      <w:r>
        <w:t xml:space="preserve"> </w:t>
      </w:r>
      <w:r>
        <w:rPr>
          <w:rStyle w:val="Fill-in"/>
        </w:rPr>
        <w:t xml:space="preserve">[System owner]</w:t>
      </w:r>
      <w:r>
        <w:t xml:space="preserve"> </w:t>
      </w:r>
      <w:r>
        <w:t xml:space="preserve">shall compile audit records from</w:t>
      </w:r>
      <w:r>
        <w:t xml:space="preserve"> </w:t>
      </w:r>
      <w:r>
        <w:rPr>
          <w:rStyle w:val="Fill-in"/>
        </w:rPr>
        <w:t xml:space="preserve">[Fill in: system components from which audit records are to be compiled into a system-wide (logical or physical) audit trail. Typical: all components that generate audit records]</w:t>
      </w:r>
      <w:r>
        <w:t xml:space="preserve"> </w:t>
      </w:r>
      <w:r>
        <w:t xml:space="preserve">into a system-wide audit trail that is time-correlated to within</w:t>
      </w:r>
      <w:r>
        <w:t xml:space="preserve"> </w:t>
      </w:r>
      <w:r>
        <w:rPr>
          <w:rStyle w:val="Fill-in"/>
        </w:rPr>
        <w:t xml:space="preserve">[Fill in: level of tolerance for the relationship between timestamps of individual records in the audit trail. Typical: one second]</w:t>
      </w:r>
      <w:r>
        <w:t xml:space="preserve">. (AU-12(1))</w:t>
      </w:r>
    </w:p>
    <w:bookmarkEnd w:id="45"/>
    <w:bookmarkStart w:id="46" w:name="changes-by-authorized-individuals-au-123"/>
    <w:p>
      <w:pPr>
        <w:pStyle w:val="Heading3"/>
      </w:pPr>
      <w:r>
        <w:t xml:space="preserve">Changes by authorized individuals (AU-12(3))</w:t>
      </w:r>
    </w:p>
    <w:p>
      <w:pPr>
        <w:pStyle w:val="Compact"/>
        <w:numPr>
          <w:ilvl w:val="0"/>
          <w:numId w:val="1028"/>
        </w:numPr>
      </w:pPr>
      <w:r>
        <w:t xml:space="preserve">The</w:t>
      </w:r>
      <w:r>
        <w:t xml:space="preserve"> </w:t>
      </w:r>
      <w:r>
        <w:rPr>
          <w:rStyle w:val="Fill-in"/>
        </w:rPr>
        <w:t xml:space="preserve">[System owner]</w:t>
      </w:r>
      <w:r>
        <w:t xml:space="preserve"> </w:t>
      </w:r>
      <w:r>
        <w:t xml:space="preserve">shall provide and implement the capability for</w:t>
      </w:r>
      <w:r>
        <w:t xml:space="preserve"> </w:t>
      </w:r>
      <w:r>
        <w:rPr>
          <w:rStyle w:val="Fill-in"/>
        </w:rPr>
        <w:t xml:space="preserve">[Fill in: individuals or roles authorized to change the logging on system components. Typical: the security operations administrators]</w:t>
      </w:r>
      <w:r>
        <w:t xml:space="preserve"> </w:t>
      </w:r>
      <w:r>
        <w:t xml:space="preserve">to change the logging performed on</w:t>
      </w:r>
      <w:r>
        <w:t xml:space="preserve"> </w:t>
      </w:r>
      <w:r>
        <w:rPr>
          <w:rStyle w:val="Fill-in"/>
        </w:rPr>
        <w:t xml:space="preserve">[Fill in: system components on which logging is to be performed. Typical: all components in the system boundary]</w:t>
      </w:r>
      <w:r>
        <w:t xml:space="preserve"> </w:t>
      </w:r>
      <w:r>
        <w:t xml:space="preserve">based on</w:t>
      </w:r>
      <w:r>
        <w:t xml:space="preserve"> </w:t>
      </w:r>
      <w:r>
        <w:rPr>
          <w:rStyle w:val="Fill-in"/>
        </w:rPr>
        <w:t xml:space="preserve">[Fill in: selectable event criteria with which change logging is to be performed. Typical: the event types in the audit logging standard, and additional detail for a user or component under investigation]</w:t>
      </w:r>
      <w:r>
        <w:t xml:space="preserve"> </w:t>
      </w:r>
      <w:r>
        <w:t xml:space="preserve">within</w:t>
      </w:r>
      <w:r>
        <w:t xml:space="preserve"> </w:t>
      </w:r>
      <w:r>
        <w:rPr>
          <w:rStyle w:val="Fill-in"/>
        </w:rPr>
        <w:t xml:space="preserve">[Fill in: time thresholds in which logging actions are to change. Typical: 1 hour]</w:t>
      </w:r>
      <w:r>
        <w:t xml:space="preserve">. (AU-12(3))</w:t>
      </w:r>
    </w:p>
    <w:bookmarkEnd w:id="46"/>
    <w:bookmarkEnd w:id="47"/>
    <w:bookmarkStart w:id="51" w:name="review-and-update"/>
    <w:p>
      <w:pPr>
        <w:pStyle w:val="Heading2"/>
      </w:pPr>
      <w:r>
        <w:t xml:space="preserve">Review and update</w:t>
      </w:r>
    </w:p>
    <w:p>
      <w:pPr>
        <w:pStyle w:val="Compact"/>
        <w:numPr>
          <w:ilvl w:val="0"/>
          <w:numId w:val="1029"/>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audit and accountability policy is reviewed and updated. Typical: annually]</w:t>
      </w:r>
      <w:r>
        <w:t xml:space="preserve"> </w:t>
      </w:r>
      <w:r>
        <w:t xml:space="preserve">and following</w:t>
      </w:r>
      <w:r>
        <w:t xml:space="preserve"> </w:t>
      </w:r>
      <w:r>
        <w:rPr>
          <w:rStyle w:val="Fill-in"/>
        </w:rPr>
        <w:t xml:space="preserve">[Fill in: events that would require the current audit and accountability policy to be reviewed and updated. Typical: assessment or audit findings, security incidents or breaches, and changes in applicable laws, executive orders, directives, regulations, policies, standards or guidelines]</w:t>
      </w:r>
      <w:r>
        <w:t xml:space="preserve">. (AU-1c.1)</w:t>
      </w:r>
    </w:p>
    <w:p>
      <w:pPr>
        <w:pStyle w:val="Compact"/>
        <w:numPr>
          <w:ilvl w:val="0"/>
          <w:numId w:val="1029"/>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audit and accountability procedures are reviewed and updated. Typical: annually]</w:t>
      </w:r>
      <w:r>
        <w:t xml:space="preserve"> </w:t>
      </w:r>
      <w:r>
        <w:t xml:space="preserve">and following</w:t>
      </w:r>
      <w:r>
        <w:t xml:space="preserve"> </w:t>
      </w:r>
      <w:r>
        <w:rPr>
          <w:rStyle w:val="Fill-in"/>
        </w:rPr>
        <w:t xml:space="preserve">[Fill in: events that would require audit and accountability procedures to be reviewed and updated. Typical: the same events as the policy, and changes to the systems, tools or services the procedures describe]</w:t>
      </w:r>
      <w:r>
        <w:t xml:space="preserve">. (AU-1c.2)</w:t>
      </w:r>
    </w:p>
    <w:bookmarkStart w:id="50"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8">
        <w:r>
          <w:rPr>
            <w:rStyle w:val="Hyperlink"/>
          </w:rPr>
          <w:t xml:space="preserve">44 U.S.C. § 3554</w:t>
        </w:r>
      </w:hyperlink>
      <w:r>
        <w:t xml:space="preserve">, Federal agency responsibilities) and</w:t>
      </w:r>
      <w:r>
        <w:t xml:space="preserve"> </w:t>
      </w:r>
      <w:hyperlink r:id="rId49">
        <w:r>
          <w:rPr>
            <w:rStyle w:val="Hyperlink"/>
          </w:rPr>
          <w:t xml:space="preserve">OMB Circular A-130</w:t>
        </w:r>
      </w:hyperlink>
      <w:r>
        <w:t xml:space="preserve">, Appendix I, Responsibilities for Protecting and Managing Federal Information Resources.</w:t>
      </w:r>
    </w:p>
    <w:p>
      <w:pPr>
        <w:pStyle w:val="Compact"/>
        <w:numPr>
          <w:ilvl w:val="0"/>
          <w:numId w:val="1030"/>
        </w:numPr>
      </w:pPr>
      <w:r>
        <w:t xml:space="preserve">Where the agency’s organization-wide policy sets a value for a parameter in this policy, each system shall use that value or a stricter one. (AU-1a.1(b))</w:t>
      </w:r>
    </w:p>
    <w:bookmarkEnd w:id="50"/>
    <w:bookmarkEnd w:id="51"/>
    <w:bookmarkEnd w:id="52"/>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Audit and Accountability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27" Target="https://kston83.github.io/nist-guide/templates/procedures/log-review-procedure/" TargetMode="External" /><Relationship Type="http://schemas.openxmlformats.org/officeDocument/2006/relationships/hyperlink" Id="rId19" Target="https://kston83.github.io/nist-guide/templates/standards/audit-logging-standard/" TargetMode="External" /><Relationship Type="http://schemas.openxmlformats.org/officeDocument/2006/relationships/hyperlink" Id="rId48" Target="https://uscode.house.gov/view.xhtml?req=granuleid:USC-prelim-title44-section3554&amp;num=0&amp;edition=prelim" TargetMode="External" /><Relationship Type="http://schemas.openxmlformats.org/officeDocument/2006/relationships/hyperlink" Id="rId41" Target="https://www.whitehouse.gov/wp-content/uploads/2026/05/M-26-14-Ensuring-Effective-and-Efficient-Agency-Logging-and-Network-Visibility-to-Defend-Against-Evolving-Cyber-Threats.pdf" TargetMode="External" /><Relationship Type="http://schemas.openxmlformats.org/officeDocument/2006/relationships/hyperlink" Id="rId4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27" Target="https://kston83.github.io/nist-guide/templates/procedures/log-review-procedure/" TargetMode="External" /><Relationship Type="http://schemas.openxmlformats.org/officeDocument/2006/relationships/hyperlink" Id="rId19" Target="https://kston83.github.io/nist-guide/templates/standards/audit-logging-standard/" TargetMode="External" /><Relationship Type="http://schemas.openxmlformats.org/officeDocument/2006/relationships/hyperlink" Id="rId48" Target="https://uscode.house.gov/view.xhtml?req=granuleid:USC-prelim-title44-section3554&amp;num=0&amp;edition=prelim" TargetMode="External" /><Relationship Type="http://schemas.openxmlformats.org/officeDocument/2006/relationships/hyperlink" Id="rId41" Target="https://www.whitehouse.gov/wp-content/uploads/2026/05/M-26-14-Ensuring-Effective-and-Efficient-Agency-Logging-and-Network-Visibility-to-Defend-Against-Evolving-Cyber-Threats.pdf" TargetMode="External" /><Relationship Type="http://schemas.openxmlformats.org/officeDocument/2006/relationships/hyperlink" Id="rId4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