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AU-1,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AU-1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3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event-logging-au-2"/>
    <w:p>
      <w:pPr>
        <w:pStyle w:val="Heading3"/>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19">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20"/>
    <w:bookmarkStart w:id="21"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1"/>
    <w:bookmarkStart w:id="22" w:name="additional-audit-information-au-31"/>
    <w:p>
      <w:pPr>
        <w:pStyle w:val="Heading3"/>
      </w:pPr>
      <w:r>
        <w:t xml:space="preserve">Additional audit information (AU-3(1))</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22"/>
    <w:bookmarkStart w:id="23" w:name="audit-log-storage-capacity-au-4"/>
    <w:p>
      <w:pPr>
        <w:pStyle w:val="Heading3"/>
      </w:pPr>
      <w:r>
        <w:t xml:space="preserve">Audit log storage capacity (AU-4)</w:t>
      </w:r>
    </w:p>
    <w:p>
      <w:pPr>
        <w:pStyle w:val="Compact"/>
        <w:numPr>
          <w:ilvl w:val="0"/>
          <w:numId w:val="1007"/>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3"/>
    <w:bookmarkStart w:id="24" w:name="X0c3d6e0ff501d0227ddf7f72c3b8ff903e18446"/>
    <w:p>
      <w:pPr>
        <w:pStyle w:val="Heading3"/>
      </w:pPr>
      <w:r>
        <w:t xml:space="preserve">Response to audit logging process failures (AU-5)</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8"/>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4"/>
    <w:bookmarkStart w:id="26" w:name="X937e91f9c44195ea7a0333189012736b1eb96cb"/>
    <w:p>
      <w:pPr>
        <w:pStyle w:val="Heading3"/>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25">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6"/>
    <w:bookmarkStart w:id="27" w:name="automated-process-integration-au-61"/>
    <w:p>
      <w:pPr>
        <w:pStyle w:val="Heading3"/>
      </w:pPr>
      <w:r>
        <w:t xml:space="preserve">Automated process integration (AU-6(1))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27"/>
    <w:bookmarkStart w:id="28" w:name="X1effe56ae23e5b3498808f260a11792f27bea77"/>
    <w:p>
      <w:pPr>
        <w:pStyle w:val="Heading3"/>
      </w:pPr>
      <w:r>
        <w:t xml:space="preserve">Correlate audit record repositories (AU-6(3))</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28"/>
    <w:bookmarkStart w:id="29" w:name="X21d2c0a901498daf90cd3097cf196dc061f294b"/>
    <w:p>
      <w:pPr>
        <w:pStyle w:val="Heading3"/>
      </w:pPr>
      <w:r>
        <w:t xml:space="preserve">Audit record reduction and report generation (AU-7)</w:t>
      </w:r>
    </w:p>
    <w:p>
      <w:pPr>
        <w:pStyle w:val="Compact"/>
        <w:numPr>
          <w:ilvl w:val="0"/>
          <w:numId w:val="1012"/>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12"/>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29"/>
    <w:bookmarkStart w:id="30" w:name="automatic-processing-au-71"/>
    <w:p>
      <w:pPr>
        <w:pStyle w:val="Heading3"/>
      </w:pPr>
      <w:r>
        <w:t xml:space="preserve">Automatic processing (AU-7(1))</w:t>
      </w:r>
    </w:p>
    <w:p>
      <w:pPr>
        <w:pStyle w:val="Compact"/>
        <w:numPr>
          <w:ilvl w:val="0"/>
          <w:numId w:val="1013"/>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30"/>
    <w:bookmarkStart w:id="31" w:name="time-stamps-au-8"/>
    <w:p>
      <w:pPr>
        <w:pStyle w:val="Heading3"/>
      </w:pPr>
      <w:r>
        <w:t xml:space="preserve">Time stamps (AU-8)</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14"/>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31"/>
    <w:bookmarkStart w:id="32" w:name="protection-of-audit-information-au-9"/>
    <w:p>
      <w:pPr>
        <w:pStyle w:val="Heading3"/>
      </w:pPr>
      <w:r>
        <w:t xml:space="preserve">Protection of audit information (AU-9)</w:t>
      </w:r>
    </w:p>
    <w:p>
      <w:pPr>
        <w:pStyle w:val="Compact"/>
        <w:numPr>
          <w:ilvl w:val="0"/>
          <w:numId w:val="1015"/>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5"/>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32"/>
    <w:bookmarkStart w:id="33" w:name="X0baaef2f05535a9bb13d04d730e2e74635dc82c"/>
    <w:p>
      <w:pPr>
        <w:pStyle w:val="Heading3"/>
      </w:pPr>
      <w:r>
        <w:t xml:space="preserve">Access by subset of privileged users (AU-9(4))</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33"/>
    <w:bookmarkStart w:id="36" w:name="audit-record-retention-au-11"/>
    <w:p>
      <w:pPr>
        <w:pStyle w:val="Heading3"/>
      </w:pPr>
      <w:r>
        <w:t xml:space="preserve">Audit record retention (AU-11)</w:t>
      </w:r>
    </w:p>
    <w:p>
      <w:pPr>
        <w:pStyle w:val="Compact"/>
        <w:numPr>
          <w:ilvl w:val="0"/>
          <w:numId w:val="1017"/>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35" w:name="federal-systems"/>
    <w:p>
      <w:pPr>
        <w:pStyle w:val="Heading4"/>
      </w:pPr>
      <w:r>
        <w:t xml:space="preserve">Federal systems</w:t>
      </w:r>
    </w:p>
    <w:p>
      <w:pPr>
        <w:pStyle w:val="FirstParagraph"/>
      </w:pPr>
      <w:hyperlink r:id="rId34">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35"/>
    <w:bookmarkEnd w:id="36"/>
    <w:bookmarkStart w:id="37" w:name="audit-record-generation-au-12"/>
    <w:p>
      <w:pPr>
        <w:pStyle w:val="Heading3"/>
      </w:pPr>
      <w:r>
        <w:t xml:space="preserve">Audit record generation (AU-12)</w:t>
      </w:r>
    </w:p>
    <w:p>
      <w:pPr>
        <w:pStyle w:val="Compact"/>
        <w:numPr>
          <w:ilvl w:val="0"/>
          <w:numId w:val="101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19"/>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19"/>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37"/>
    <w:bookmarkEnd w:id="38"/>
    <w:bookmarkStart w:id="42" w:name="review-and-update"/>
    <w:p>
      <w:pPr>
        <w:pStyle w:val="Heading2"/>
      </w:pPr>
      <w:r>
        <w:t xml:space="preserve">Review and update</w:t>
      </w:r>
    </w:p>
    <w:p>
      <w:pPr>
        <w:pStyle w:val="Compact"/>
        <w:numPr>
          <w:ilvl w:val="0"/>
          <w:numId w:val="1020"/>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20"/>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41"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9">
        <w:r>
          <w:rPr>
            <w:rStyle w:val="Hyperlink"/>
          </w:rPr>
          <w:t xml:space="preserve">44 U.S.C. § 3554</w:t>
        </w:r>
      </w:hyperlink>
      <w:r>
        <w:t xml:space="preserve">, Federal agency responsibilities) and</w:t>
      </w:r>
      <w:r>
        <w:t xml:space="preserve"> </w:t>
      </w:r>
      <w:hyperlink r:id="rId40">
        <w:r>
          <w:rPr>
            <w:rStyle w:val="Hyperlink"/>
          </w:rPr>
          <w:t xml:space="preserve">OMB Circular A-130</w:t>
        </w:r>
      </w:hyperlink>
      <w:r>
        <w:t xml:space="preserve">, Appendix I, Responsibilities for Protecting and Managing Federal Information Resources.</w:t>
      </w:r>
    </w:p>
    <w:p>
      <w:pPr>
        <w:pStyle w:val="Compact"/>
        <w:numPr>
          <w:ilvl w:val="0"/>
          <w:numId w:val="1021"/>
        </w:numPr>
      </w:pPr>
      <w:r>
        <w:t xml:space="preserve">Where the agency’s organization-wide policy sets a value for a parameter in this policy, each system shall use that value or a stricter one. (AU-1a.1(b))</w:t>
      </w:r>
    </w:p>
    <w:bookmarkEnd w:id="41"/>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5"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34" Target="https://www.whitehouse.gov/wp-content/uploads/2026/05/M-26-14-Ensuring-Effective-and-Efficient-Agency-Logging-and-Network-Visibility-to-Defend-Against-Evolving-Cyber-Threats.pdf" TargetMode="External" /><Relationship Type="http://schemas.openxmlformats.org/officeDocument/2006/relationships/hyperlink" Id="rId4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5"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34" Target="https://www.whitehouse.gov/wp-content/uploads/2026/05/M-26-14-Ensuring-Effective-and-Efficient-Agency-Logging-and-Network-Visibility-to-Defend-Against-Evolving-Cyber-Threats.pdf" TargetMode="External" /><Relationship Type="http://schemas.openxmlformats.org/officeDocument/2006/relationships/hyperlink" Id="rId4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