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audit-and-accountability-policy"/>
    <w:p>
      <w:pPr>
        <w:pStyle w:val="Heading1"/>
      </w:pPr>
      <w:r>
        <w:t xml:space="preserve">Audit and Accountability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https://kston83.github.io/nist-guide/templates/policies/au/</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Audit and Accountability, and who is accountable for meeting those requirements. (AU-1a.1(a))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(AU-1a.1(a))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(AU-1a.1(a))</w:t>
      </w:r>
    </w:p>
    <w:p>
      <w:pPr>
        <w:pStyle w:val="Compact"/>
        <w:numPr>
          <w:ilvl w:val="0"/>
          <w:numId w:val="1001"/>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manage the development, documentation and dissemination of this policy and its procedures. (AU-1b)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(AU-1a.1(a))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(AU-1a.1(a))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(AU-1a.1(a))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(AU-1a.1(a))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(AU-1a.1(b))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(AU-1a.1(a))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(AU-1a.1(a))</w:t>
      </w:r>
    </w:p>
    <w:p>
      <w:pPr>
        <w:pStyle w:val="Compact"/>
        <w:numPr>
          <w:ilvl w:val="0"/>
          <w:numId w:val="1002"/>
        </w:numPr>
      </w:pPr>
      <w:r>
        <w:t xml:space="preserve">Violations of this policy shall be handled through the organization’s sanctions process. (AU-1a.1(a))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ensure that documented procedures exist to implement this policy and its associated controls. (AU-1a.2)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audit and accountability policy is to be disseminated. Typical: everyone within its scope, through the policy library]</w:t>
      </w:r>
      <w:r>
        <w:t xml:space="preserve">. (AU-1a)</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audit and accountability procedures are to be disseminated. Typical: the people who carry them out, and the system owners]</w:t>
      </w:r>
      <w:r>
        <w:t xml:space="preserve">. (AU-1a)</w:t>
      </w:r>
    </w:p>
    <w:bookmarkEnd w:id="18"/>
    <w:bookmarkStart w:id="24" w:name="policy-statements"/>
    <w:p>
      <w:pPr>
        <w:pStyle w:val="Heading2"/>
      </w:pPr>
      <w:r>
        <w:t xml:space="preserve">Policy statements</w:t>
      </w:r>
    </w:p>
    <w:bookmarkStart w:id="19" w:name="event-logging-au-2"/>
    <w:p>
      <w:pPr>
        <w:pStyle w:val="Heading3"/>
      </w:pPr>
      <w:r>
        <w:t xml:space="preserve">Event logging (AU-2)</w:t>
      </w:r>
    </w:p>
    <w:p>
      <w:pPr>
        <w:pStyle w:val="Compact"/>
        <w:numPr>
          <w:ilvl w:val="0"/>
          <w:numId w:val="100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0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0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19"/>
    <w:bookmarkStart w:id="20" w:name="Xfc649bb5e169c2e3ec983b19901c76e6f358746"/>
    <w:p>
      <w:pPr>
        <w:pStyle w:val="Heading3"/>
      </w:pPr>
      <w:r>
        <w:t xml:space="preserve">Limit personally identifiable information elements (AU-3(3))</w:t>
      </w:r>
    </w:p>
    <w:p>
      <w:pPr>
        <w:pStyle w:val="Compact"/>
        <w:numPr>
          <w:ilvl w:val="0"/>
          <w:numId w:val="1005"/>
        </w:numPr>
      </w:pPr>
      <w:r>
        <w:t xml:space="preserve">For a system that processes personally identifiable information, the</w:t>
      </w:r>
      <w:r>
        <w:t xml:space="preserve"> </w:t>
      </w:r>
      <w:r>
        <w:rPr>
          <w:rStyle w:val="Fill-in"/>
        </w:rPr>
        <w:t xml:space="preserve">[System owner]</w:t>
      </w:r>
      <w:r>
        <w:t xml:space="preserve"> </w:t>
      </w:r>
      <w:r>
        <w:t xml:space="preserve">shall limit personally identifiable information contained in audit records to the following elements identified in the privacy risk assessment:</w:t>
      </w:r>
      <w:r>
        <w:t xml:space="preserve"> </w:t>
      </w:r>
      <w:r>
        <w:rPr>
          <w:rStyle w:val="Fill-in"/>
        </w:rPr>
        <w:t xml:space="preserve">[Fill in: elements identified in the privacy risk assessment. Typical: the account identifier, the source address and device, and the identifiers of records accessed, not their contents]</w:t>
      </w:r>
      <w:r>
        <w:t xml:space="preserve">. (AU-3(3))</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review, with the</w:t>
      </w:r>
      <w:r>
        <w:t xml:space="preserve"> </w:t>
      </w:r>
      <w:r>
        <w:rPr>
          <w:rStyle w:val="Fill-in"/>
        </w:rPr>
        <w:t xml:space="preserve">[System owner]</w:t>
      </w:r>
      <w:r>
        <w:t xml:space="preserve">, the personally identifiable information elements the system writes to audit records, and the</w:t>
      </w:r>
      <w:r>
        <w:t xml:space="preserve"> </w:t>
      </w:r>
      <w:r>
        <w:rPr>
          <w:rStyle w:val="Fill-in"/>
        </w:rPr>
        <w:t xml:space="preserve">[System owner]</w:t>
      </w:r>
      <w:r>
        <w:t xml:space="preserve"> </w:t>
      </w:r>
      <w:r>
        <w:t xml:space="preserve">shall record the approved elements in the privacy impact assessment. (AU-3(3))</w:t>
      </w:r>
    </w:p>
    <w:p>
      <w:pPr>
        <w:pStyle w:val="Compact"/>
        <w:numPr>
          <w:ilvl w:val="0"/>
          <w:numId w:val="1005"/>
        </w:numPr>
      </w:pPr>
      <w:r>
        <w:t xml:space="preserve">The</w:t>
      </w:r>
      <w:r>
        <w:t xml:space="preserve"> </w:t>
      </w:r>
      <w:r>
        <w:rPr>
          <w:rStyle w:val="Fill-in"/>
        </w:rPr>
        <w:t xml:space="preserve">[System owner]</w:t>
      </w:r>
      <w:r>
        <w:t xml:space="preserve"> </w:t>
      </w:r>
      <w:r>
        <w:t xml:space="preserve">shall ensure request bodies, form inputs, query strings and other content that may hold personally identifiable information are masked, truncated or left out of audit records unless the privacy impact assessment lists them as needed. (AU-3(3))</w:t>
      </w:r>
    </w:p>
    <w:bookmarkEnd w:id="20"/>
    <w:bookmarkStart w:id="23" w:name="audit-record-retention-au-11"/>
    <w:p>
      <w:pPr>
        <w:pStyle w:val="Heading3"/>
      </w:pPr>
      <w:r>
        <w:t xml:space="preserve">Audit record retention (AU-11)</w:t>
      </w:r>
    </w:p>
    <w:p>
      <w:pPr>
        <w:pStyle w:val="Compact"/>
        <w:numPr>
          <w:ilvl w:val="0"/>
          <w:numId w:val="1006"/>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22" w:name="federal-systems"/>
    <w:p>
      <w:pPr>
        <w:pStyle w:val="Heading4"/>
      </w:pPr>
      <w:r>
        <w:t xml:space="preserve">Federal systems</w:t>
      </w:r>
    </w:p>
    <w:p>
      <w:pPr>
        <w:pStyle w:val="FirstParagraph"/>
      </w:pPr>
      <w:hyperlink r:id="rId21">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22"/>
    <w:bookmarkEnd w:id="23"/>
    <w:bookmarkEnd w:id="24"/>
    <w:bookmarkStart w:id="28" w:name="review-and-update"/>
    <w:p>
      <w:pPr>
        <w:pStyle w:val="Heading2"/>
      </w:pPr>
      <w:r>
        <w:t xml:space="preserve">Review and update</w:t>
      </w:r>
    </w:p>
    <w:p>
      <w:pPr>
        <w:pStyle w:val="Compact"/>
        <w:numPr>
          <w:ilvl w:val="0"/>
          <w:numId w:val="1008"/>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audit and accountability policy is reviewed and updated. Typical: annually]</w:t>
      </w:r>
      <w:r>
        <w:t xml:space="preserve"> </w:t>
      </w:r>
      <w:r>
        <w:t xml:space="preserve">and following</w:t>
      </w:r>
      <w:r>
        <w:t xml:space="preserve"> </w:t>
      </w:r>
      <w:r>
        <w:rPr>
          <w:rStyle w:val="Fill-in"/>
        </w:rPr>
        <w:t xml:space="preserve">[Fill in: events that would require the current audit and accountability policy to be reviewed and updated. Typical: assessment or audit findings, security incidents or breaches, and changes in applicable laws, executive orders, directives, regulations, policies, standards or guidelines]</w:t>
      </w:r>
      <w:r>
        <w:t xml:space="preserve">. (AU-1c.1)</w:t>
      </w:r>
    </w:p>
    <w:p>
      <w:pPr>
        <w:pStyle w:val="Compact"/>
        <w:numPr>
          <w:ilvl w:val="0"/>
          <w:numId w:val="1008"/>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audit and accountability procedures are reviewed and updated. Typical: annually]</w:t>
      </w:r>
      <w:r>
        <w:t xml:space="preserve"> </w:t>
      </w:r>
      <w:r>
        <w:t xml:space="preserve">and following</w:t>
      </w:r>
      <w:r>
        <w:t xml:space="preserve"> </w:t>
      </w:r>
      <w:r>
        <w:rPr>
          <w:rStyle w:val="Fill-in"/>
        </w:rPr>
        <w:t xml:space="preserve">[Fill in: events that would require audit and accountability procedures to be reviewed and updated. Typical: the same events as the policy, and changes to the systems, tools or services the procedures describe]</w:t>
      </w:r>
      <w:r>
        <w:t xml:space="preserve">. (AU-1c.2)</w:t>
      </w:r>
    </w:p>
    <w:bookmarkStart w:id="27"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5">
        <w:r>
          <w:rPr>
            <w:rStyle w:val="Hyperlink"/>
          </w:rPr>
          <w:t xml:space="preserve">44 U.S.C. § 3554</w:t>
        </w:r>
      </w:hyperlink>
      <w:r>
        <w:t xml:space="preserve">, Federal agency responsibilities) and</w:t>
      </w:r>
      <w:r>
        <w:t xml:space="preserve"> </w:t>
      </w:r>
      <w:hyperlink r:id="rId26">
        <w:r>
          <w:rPr>
            <w:rStyle w:val="Hyperlink"/>
          </w:rPr>
          <w:t xml:space="preserve">OMB Circular A-130</w:t>
        </w:r>
      </w:hyperlink>
      <w:r>
        <w:t xml:space="preserve">, Appendix I, Responsibilities for Protecting and Managing Federal Information Resources.</w:t>
      </w:r>
    </w:p>
    <w:p>
      <w:pPr>
        <w:pStyle w:val="Compact"/>
        <w:numPr>
          <w:ilvl w:val="0"/>
          <w:numId w:val="1009"/>
        </w:numPr>
      </w:pPr>
      <w:r>
        <w:t xml:space="preserve">Where the agency’s organization-wide policy sets a value for a parameter in this policy, each system shall use that value or a stricter one. (AU-1a.1(b))</w:t>
      </w:r>
    </w:p>
    <w:bookmarkEnd w:id="27"/>
    <w:bookmarkEnd w:id="28"/>
    <w:bookmarkEnd w:id="2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and Accountability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1" Target="https://www.whitehouse.gov/wp-content/uploads/2026/05/M-26-14-Ensuring-Effective-and-Efficient-Agency-Logging-and-Network-Visibility-to-Defend-Against-Evolving-Cyber-Threats.pdf" TargetMode="External" /><Relationship Type="http://schemas.openxmlformats.org/officeDocument/2006/relationships/hyperlink" Id="rId26"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25" Target="https://uscode.house.gov/view.xhtml?req=granuleid:USC-prelim-title44-section3554&amp;num=0&amp;edition=prelim" TargetMode="External" /><Relationship Type="http://schemas.openxmlformats.org/officeDocument/2006/relationships/hyperlink" Id="rId21" Target="https://www.whitehouse.gov/wp-content/uploads/2026/05/M-26-14-Ensuring-Effective-and-Efficient-Agency-Logging-and-Network-Visibility-to-Defend-Against-Evolving-Cyber-Threats.pdf" TargetMode="External" /><Relationship Type="http://schemas.openxmlformats.org/officeDocument/2006/relationships/hyperlink" Id="rId26"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