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2" w:name="X792825c87b5edbba4dfd9bf4a7600b669548c6d"/>
    <w:p>
      <w:pPr>
        <w:pStyle w:val="Heading1"/>
      </w:pPr>
      <w:r>
        <w:t xml:space="preserve">Assessment, Authorization, and Monitoring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CA-1,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CA-1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Assessment, Authorization, and Monitoring, and who is accountable for meeting those requirements. (CA-1a.1(a))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(CA-1a.1(a))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(CA-1a.1(a))</w:t>
      </w:r>
    </w:p>
    <w:p>
      <w:pPr>
        <w:pStyle w:val="Compact"/>
        <w:numPr>
          <w:ilvl w:val="0"/>
          <w:numId w:val="1001"/>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manage the development, documentation and dissemination of this policy and its procedures. (CA-1b)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(CA-1a.1(a))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(CA-1a.1(a))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(CA-1a.1(a))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(CA-1a.1(a))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(CA-1a.1(b))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(CA-1a.1(a))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(CA-1a.1(a))</w:t>
      </w:r>
    </w:p>
    <w:p>
      <w:pPr>
        <w:pStyle w:val="Compact"/>
        <w:numPr>
          <w:ilvl w:val="0"/>
          <w:numId w:val="1002"/>
        </w:numPr>
      </w:pPr>
      <w:r>
        <w:t xml:space="preserve">Violations of this policy shall be handled through the organization’s sanctions process. (CA-1a.1(a))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ensure that documented procedures exist to implement this policy and its associated controls. (CA-1a.2)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assessment, authorization, and monitoring policy is to be disseminated. Typical: everyone within its scope, through the policy library]</w:t>
      </w:r>
      <w:r>
        <w:t xml:space="preserve">. (CA-1a)</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assessment, authorization, and monitoring procedures are to be disseminated. Typical: the people who carry them out, and the system owners]</w:t>
      </w:r>
      <w:r>
        <w:t xml:space="preserve">. (CA-1a)</w:t>
      </w:r>
    </w:p>
    <w:bookmarkEnd w:id="18"/>
    <w:bookmarkStart w:id="49"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5" w:name="control-assessments-ca-2"/>
    <w:p>
      <w:pPr>
        <w:pStyle w:val="Heading3"/>
      </w:pPr>
      <w:r>
        <w:t xml:space="preserve">Control assessments (CA-2)</w:t>
      </w:r>
    </w:p>
    <w:p>
      <w:pPr>
        <w:pStyle w:val="Guidance"/>
      </w:pPr>
      <w:r>
        <w:t xml:space="preserve">CA-2 is the formal control assessment: an assessor tests whether each control is implemented correctly, operating as intended and producing the desired outcome. The</w:t>
      </w:r>
      <w:r>
        <w:t xml:space="preserve"> </w:t>
      </w:r>
      <w:hyperlink r:id="rId19">
        <w:r>
          <w:rPr>
            <w:rStyle w:val="Hyperlink"/>
          </w:rPr>
          <w:t xml:space="preserve">assessment plan</w:t>
        </w:r>
      </w:hyperlink>
      <w:r>
        <w:t xml:space="preserve"> </w:t>
      </w:r>
      <w:r>
        <w:t xml:space="preserve">is approved before testing starts, and the</w:t>
      </w:r>
      <w:r>
        <w:t xml:space="preserve"> </w:t>
      </w:r>
      <w:hyperlink r:id="rId20">
        <w:r>
          <w:rPr>
            <w:rStyle w:val="Hyperlink"/>
          </w:rPr>
          <w:t xml:space="preserve">assessment report</w:t>
        </w:r>
      </w:hyperlink>
      <w:r>
        <w:t xml:space="preserve"> </w:t>
      </w:r>
      <w:r>
        <w:t xml:space="preserve">goes to the people who decide on the system’s authorization (CA-6). The assessment procedures are usually the objectives and methods (examine, interview, test) in NIST SP 800-53A Rev. 5 (</w:t>
      </w:r>
      <w:hyperlink r:id="rId21">
        <w:r>
          <w:rPr>
            <w:rStyle w:val="Hyperlink"/>
          </w:rPr>
          <w:t xml:space="preserve">January 2022</w:t>
        </w:r>
      </w:hyperlink>
      <w:r>
        <w:t xml:space="preserve">, updated by release 5.2.0 in August 2025; current as of September 2026), shown on each control page. After the first authorization, the yearly assessment can reuse results from continuous monitoring (CA-7) that are still current and were obtained with enough independence.</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04"/>
        </w:numPr>
      </w:pPr>
      <w:r>
        <w:t xml:space="preserve">The assessor shall develop an assessment plan that names the controls and control enhancements under assessment. (CA-2b.1)</w:t>
      </w:r>
    </w:p>
    <w:p>
      <w:pPr>
        <w:pStyle w:val="Compact"/>
        <w:numPr>
          <w:ilvl w:val="0"/>
          <w:numId w:val="1004"/>
        </w:numPr>
      </w:pPr>
      <w:r>
        <w:t xml:space="preserve">The assessment plan shall describe the assessment procedures used to determine control effectiveness. (CA-2b.2)</w:t>
      </w:r>
    </w:p>
    <w:p>
      <w:pPr>
        <w:pStyle w:val="Compact"/>
        <w:numPr>
          <w:ilvl w:val="0"/>
          <w:numId w:val="1004"/>
        </w:numPr>
      </w:pPr>
      <w:r>
        <w:t xml:space="preserve">The assessment plan shall describe the assessment environment, the assessment team, and the assessment roles and responsibilities. (CA-2b.3)</w:t>
      </w:r>
    </w:p>
    <w:p>
      <w:pPr>
        <w:pStyle w:val="Compact"/>
        <w:numPr>
          <w:ilvl w:val="0"/>
          <w:numId w:val="1004"/>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04"/>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04"/>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04"/>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04"/>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p>
      <w:pPr>
        <w:pStyle w:val="Guidance"/>
      </w:pPr>
      <w:r>
        <w:t xml:space="preserve">Common controls are assessed once by the organization that provides them, and each system that inherits them reuses that assessment. Record each</w:t>
      </w:r>
      <w:r>
        <w:t xml:space="preserve"> </w:t>
      </w:r>
      <w:r>
        <w:t xml:space="preserve">“other than satisfied”</w:t>
      </w:r>
      <w:r>
        <w:t xml:space="preserve"> </w:t>
      </w:r>
      <w:r>
        <w:t xml:space="preserve">result in the system’s plan of action and milestones (CA-5), unless the authorizing official accepts the risk (RA-7).</w:t>
      </w:r>
    </w:p>
    <w:bookmarkStart w:id="24" w:name="federal-systems"/>
    <w:p>
      <w:pPr>
        <w:pStyle w:val="Heading4"/>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22">
        <w:r>
          <w:rPr>
            <w:rStyle w:val="Hyperlink"/>
          </w:rPr>
          <w:t xml:space="preserve">44 U.S.C. § 3554(b)(5)</w:t>
        </w:r>
      </w:hyperlink>
      <w:r>
        <w:t xml:space="preserve">).</w:t>
      </w:r>
      <w:r>
        <w:t xml:space="preserve"> </w:t>
      </w:r>
      <w:hyperlink r:id="rId23">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24"/>
    <w:bookmarkEnd w:id="25"/>
    <w:bookmarkStart w:id="26" w:name="independent-assessors-ca-21"/>
    <w:p>
      <w:pPr>
        <w:pStyle w:val="Heading3"/>
      </w:pPr>
      <w:r>
        <w:t xml:space="preserve">Independent assessors (CA-2(1))</w:t>
      </w:r>
    </w:p>
    <w:p>
      <w:pPr>
        <w:pStyle w:val="Guidance"/>
      </w:pPr>
      <w:r>
        <w:t xml:space="preserve">An independent assessor has no actual or perceived conflict of interest with the system: they do not build, run or manage it, do not assess their own work, and do not advocate for the organization they assess. Independence can come from a separate internal team or a third-party assessor, provided the system owner cannot influence the assessor’s work or findings. In a small organization where every possible assessor is in the system owner’s chain, NIST’s CA-2(1) discussion allows an independent team of experts to review and validate the assessment results instead.</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employ independent assessors or assessment teams to conduct control assessments. (CA-2(1))</w:t>
      </w:r>
    </w:p>
    <w:p>
      <w:pPr>
        <w:pStyle w:val="Compact"/>
        <w:numPr>
          <w:ilvl w:val="0"/>
          <w:numId w:val="1006"/>
        </w:numPr>
      </w:pPr>
      <w:r>
        <w:t xml:space="preserve">The assessor shall be free of any actual or perceived conflict of interest regarding the development, operation, sustainment or management of the system under assessment. (CA-2(1))</w:t>
      </w:r>
    </w:p>
    <w:p>
      <w:pPr>
        <w:pStyle w:val="Compact"/>
        <w:numPr>
          <w:ilvl w:val="0"/>
          <w:numId w:val="1006"/>
        </w:numPr>
      </w:pPr>
      <w:r>
        <w:t xml:space="preserve">The authorizing official shall determine the level of assessor independence the system needs, based on its security category and risk, and confirm it before approving the assessment plan. (CA-2(1))</w:t>
      </w:r>
    </w:p>
    <w:bookmarkEnd w:id="26"/>
    <w:bookmarkStart w:id="27" w:name="specialized-assessments-ca-22"/>
    <w:p>
      <w:pPr>
        <w:pStyle w:val="Heading3"/>
      </w:pPr>
      <w:r>
        <w:t xml:space="preserve">Specialized assessments (CA-2(2))</w:t>
      </w:r>
    </w:p>
    <w:p>
      <w:pPr>
        <w:pStyle w:val="Guidance"/>
      </w:pPr>
      <w:r>
        <w:t xml:space="preserve">Specialized assessments go beyond the standard examine, interview and test methods to exercise the organization’s defenses as an adversary or insider would. NIST’s CA-2(2) discussion has the authorizing official approve the methods, in coordination with the organization’s risk executive function. Unannounced assessments test detection and response more realistically but need tighter rules of engagement, so organizations often start with announced ones.</w:t>
      </w:r>
    </w:p>
    <w:p>
      <w:pPr>
        <w:pStyle w:val="Compact"/>
        <w:numPr>
          <w:ilvl w:val="0"/>
          <w:numId w:val="1007"/>
        </w:numPr>
      </w:pPr>
      <w:r>
        <w:t xml:space="preserve">The assessor shall include</w:t>
      </w:r>
      <w:r>
        <w:t xml:space="preserve"> </w:t>
      </w:r>
      <w:r>
        <w:rPr>
          <w:rStyle w:val="Fill-in"/>
        </w:rPr>
        <w:t xml:space="preserve">[Select one: announced; unannounced. Typical: announced]</w:t>
      </w:r>
      <w:r>
        <w:t xml:space="preserve"> </w:t>
      </w:r>
      <w:r>
        <w:rPr>
          <w:rStyle w:val="Fill-in"/>
        </w:rPr>
        <w:t xml:space="preserve">[Select one or more: in-depth monitoring; security instrumentation; automated security test cases; vulnerability scanning; malicious user testing; insider threat assessment; performance and load testing; data leakage or data loss assessment; [Assignment: organization-defined other forms of assessment]. Typical: vulnerability scanning, malicious user testing, insider threat assessment, and data leakage or data loss assessment]</w:t>
      </w:r>
      <w:r>
        <w:t xml:space="preserve"> </w:t>
      </w:r>
      <w:r>
        <w:t xml:space="preserve">as part of control assessments,</w:t>
      </w:r>
      <w:r>
        <w:t xml:space="preserve"> </w:t>
      </w:r>
      <w:r>
        <w:rPr>
          <w:rStyle w:val="Fill-in"/>
        </w:rPr>
        <w:t xml:space="preserve">[Fill in: frequency at which to include specialized assessments as part of the control assessment. Typical: at least annually]</w:t>
      </w:r>
      <w:r>
        <w:t xml:space="preserve">. (CA-2(2))</w:t>
      </w:r>
    </w:p>
    <w:p>
      <w:pPr>
        <w:pStyle w:val="Compact"/>
        <w:numPr>
          <w:ilvl w:val="0"/>
          <w:numId w:val="1007"/>
        </w:numPr>
      </w:pPr>
      <w:r>
        <w:t xml:space="preserve">The authorizing official shall approve the specialized assessment methods, and their rules of engagement, before they are used. (CA-2(2))</w:t>
      </w:r>
    </w:p>
    <w:p>
      <w:pPr>
        <w:pStyle w:val="Compact"/>
        <w:numPr>
          <w:ilvl w:val="0"/>
          <w:numId w:val="1007"/>
        </w:numPr>
      </w:pPr>
      <w:r>
        <w:t xml:space="preserve">The</w:t>
      </w:r>
      <w:r>
        <w:t xml:space="preserve"> </w:t>
      </w:r>
      <w:r>
        <w:rPr>
          <w:rStyle w:val="Fill-in"/>
        </w:rPr>
        <w:t xml:space="preserve">[System owner]</w:t>
      </w:r>
      <w:r>
        <w:t xml:space="preserve"> </w:t>
      </w:r>
      <w:r>
        <w:t xml:space="preserve">shall enter each vulnerability that a specialized assessment finds into the system’s vulnerability remediation process (RA-5). (CA-2(2))</w:t>
      </w:r>
    </w:p>
    <w:bookmarkEnd w:id="27"/>
    <w:bookmarkStart w:id="31" w:name="information-exchange-ca-3"/>
    <w:p>
      <w:pPr>
        <w:pStyle w:val="Heading3"/>
      </w:pPr>
      <w:r>
        <w:t xml:space="preserve">Information exchange (CA-3)</w:t>
      </w:r>
    </w:p>
    <w:p>
      <w:pPr>
        <w:pStyle w:val="Guidance"/>
      </w:pPr>
      <w:r>
        <w:t xml:space="preserve">CA-3 covers every exchange of information with a system outside the authorization boundary, whether over a dedicated connection, an application programming interface or a file transfer. The</w:t>
      </w:r>
      <w:r>
        <w:t xml:space="preserve"> </w:t>
      </w:r>
      <w:hyperlink r:id="rId28">
        <w:r>
          <w:rPr>
            <w:rStyle w:val="Hyperlink"/>
          </w:rPr>
          <w:t xml:space="preserve">information exchange agreement</w:t>
        </w:r>
      </w:hyperlink>
      <w:r>
        <w:t xml:space="preserve"> </w:t>
      </w:r>
      <w:r>
        <w:t xml:space="preserve">records what is exchanged, how it is protected and who is responsible on each side. NIST SP 800-47 Rev. 1, Managing the Security of Information Exchanges (</w:t>
      </w:r>
      <w:hyperlink r:id="rId29">
        <w:r>
          <w:rPr>
            <w:rStyle w:val="Hyperlink"/>
          </w:rPr>
          <w:t xml:space="preserve">July 2021</w:t>
        </w:r>
      </w:hyperlink>
      <w:r>
        <w:t xml:space="preserve">, current as of September 2026), describes how to plan, establish, maintain and end exchanges and their agreements. NIST’s CA-3 discussion notes that when both systems have the same authorizing official, no separate agreement is needed: the security and privacy plans describe the interface instead.</w:t>
      </w:r>
    </w:p>
    <w:p>
      <w:pPr>
        <w:pStyle w:val="Compact"/>
        <w:numPr>
          <w:ilvl w:val="0"/>
          <w:numId w:val="1008"/>
        </w:numPr>
      </w:pPr>
      <w:r>
        <w:t xml:space="preserve">The authorizing official shall approve each exchange of information between the system and another system before the exchange begins. (CA-3a)</w:t>
      </w:r>
    </w:p>
    <w:p>
      <w:pPr>
        <w:pStyle w:val="Compact"/>
        <w:numPr>
          <w:ilvl w:val="0"/>
          <w:numId w:val="1008"/>
        </w:numPr>
      </w:pPr>
      <w:r>
        <w:t xml:space="preserve">The</w:t>
      </w:r>
      <w:r>
        <w:t xml:space="preserve"> </w:t>
      </w:r>
      <w:r>
        <w:rPr>
          <w:rStyle w:val="Fill-in"/>
        </w:rPr>
        <w:t xml:space="preserve">[System owner]</w:t>
      </w:r>
      <w:r>
        <w:t xml:space="preserve"> </w:t>
      </w:r>
      <w:r>
        <w:t xml:space="preserve">shall manage each exchange of information between the system and other systems using</w:t>
      </w:r>
      <w:r>
        <w:t xml:space="preserve"> </w:t>
      </w:r>
      <w:r>
        <w:rPr>
          <w:rStyle w:val="Fill-in"/>
        </w:rPr>
        <w:t xml:space="preserve">[Select one or more: interconnection security agreements; information exchange security agreements; memoranda of understanding or agreement; service level agreements; user agreements; non-disclosure agreements; [Assignment: organization-defined type of agreement]. Typical: interconnection security agreements or information exchange security agreements, and service level agreements or contract terms with the same content for external services]</w:t>
      </w:r>
      <w:r>
        <w:t xml:space="preserve">. (CA-3a)</w:t>
      </w:r>
    </w:p>
    <w:p>
      <w:pPr>
        <w:pStyle w:val="Compact"/>
        <w:numPr>
          <w:ilvl w:val="0"/>
          <w:numId w:val="1008"/>
        </w:numPr>
      </w:pPr>
      <w:r>
        <w:t xml:space="preserve">The</w:t>
      </w:r>
      <w:r>
        <w:t xml:space="preserve"> </w:t>
      </w:r>
      <w:r>
        <w:rPr>
          <w:rStyle w:val="Fill-in"/>
        </w:rPr>
        <w:t xml:space="preserve">[System owner]</w:t>
      </w:r>
      <w:r>
        <w:t xml:space="preserve"> </w:t>
      </w:r>
      <w:r>
        <w:t xml:space="preserve">shall record each exchange and the agreement that approves it in the system security plan. (CA-3a)</w:t>
      </w:r>
    </w:p>
    <w:p>
      <w:pPr>
        <w:pStyle w:val="Compact"/>
        <w:numPr>
          <w:ilvl w:val="0"/>
          <w:numId w:val="1008"/>
        </w:numPr>
      </w:pPr>
      <w:r>
        <w:t xml:space="preserve">Each exchange agreement shall document the interface characteristics, the security and privacy requirements, the controls and the responsibilities for each system, and the impact level of the information communicated. (CA-3b)</w:t>
      </w:r>
    </w:p>
    <w:p>
      <w:pPr>
        <w:pStyle w:val="Compact"/>
        <w:numPr>
          <w:ilvl w:val="0"/>
          <w:numId w:val="1008"/>
        </w:numPr>
      </w:pPr>
      <w:r>
        <w:t xml:space="preserve">The</w:t>
      </w:r>
      <w:r>
        <w:t xml:space="preserve"> </w:t>
      </w:r>
      <w:r>
        <w:rPr>
          <w:rStyle w:val="Fill-in"/>
        </w:rPr>
        <w:t xml:space="preserve">[System owner]</w:t>
      </w:r>
      <w:r>
        <w:t xml:space="preserve"> </w:t>
      </w:r>
      <w:r>
        <w:t xml:space="preserve">shall review and update each exchange agreement</w:t>
      </w:r>
      <w:r>
        <w:t xml:space="preserve"> </w:t>
      </w:r>
      <w:r>
        <w:rPr>
          <w:rStyle w:val="Fill-in"/>
        </w:rPr>
        <w:t xml:space="preserve">[Fill in: the frequency at which to review and update agreements. Typical: at least annually, and when either system makes a significant change that affects the exchange]</w:t>
      </w:r>
      <w:r>
        <w:t xml:space="preserve">. (CA-3c)</w:t>
      </w:r>
    </w:p>
    <w:p>
      <w:pPr>
        <w:pStyle w:val="Compact"/>
        <w:numPr>
          <w:ilvl w:val="0"/>
          <w:numId w:val="1008"/>
        </w:numPr>
      </w:pPr>
      <w:r>
        <w:t xml:space="preserve">The</w:t>
      </w:r>
      <w:r>
        <w:t xml:space="preserve"> </w:t>
      </w:r>
      <w:r>
        <w:rPr>
          <w:rStyle w:val="Fill-in"/>
        </w:rPr>
        <w:t xml:space="preserve">[System owner]</w:t>
      </w:r>
      <w:r>
        <w:t xml:space="preserve"> </w:t>
      </w:r>
      <w:r>
        <w:t xml:space="preserve">shall end an exchange, and close its agreement, when it is no longer needed or when the other party no longer meets the agreement’s security and privacy requirements. (CA-3a)</w:t>
      </w:r>
    </w:p>
    <w:bookmarkStart w:id="30" w:name="federal-systems-1"/>
    <w:p>
      <w:pPr>
        <w:pStyle w:val="Heading4"/>
      </w:pPr>
      <w:r>
        <w:t xml:space="preserve">Federal systems</w:t>
      </w:r>
    </w:p>
    <w:p>
      <w:pPr>
        <w:pStyle w:val="FirstParagraph"/>
      </w:pPr>
      <w:hyperlink r:id="rId23">
        <w:r>
          <w:rPr>
            <w:rStyle w:val="Hyperlink"/>
          </w:rPr>
          <w:t xml:space="preserve">OMB Circular A-130</w:t>
        </w:r>
      </w:hyperlink>
      <w:r>
        <w:t xml:space="preserve">, Appendix I, section 4.c(16), requires agencies to obtain approval from the authorizing official for connections from an information system, as defined by its authorization boundary, to other information systems, based on the risk to the agency’s operations and assets, individuals, other organizations and the Nation. Section 4.j(2)(f) requires agreements, such as memoranda of understanding, interconnection security agreements or contracts, for interfaces between agency-owned or operated systems and information systems that contractors or other entities use or operate on behalf of the Federal Government. As of September 2026.</w:t>
      </w:r>
    </w:p>
    <w:p>
      <w:pPr>
        <w:pStyle w:val="Compact"/>
        <w:numPr>
          <w:ilvl w:val="0"/>
          <w:numId w:val="1009"/>
        </w:numPr>
      </w:pPr>
      <w:r>
        <w:t xml:space="preserve">The authorizing official shall base the approval of each connection to another system on the risk to agency operations and assets, individuals, other organizations and the Nation, as OMB Circular A-130, Appendix I, section 4.c(16), requires. (CA-3a)</w:t>
      </w:r>
    </w:p>
    <w:p>
      <w:pPr>
        <w:pStyle w:val="Compact"/>
        <w:numPr>
          <w:ilvl w:val="0"/>
          <w:numId w:val="1009"/>
        </w:numPr>
      </w:pPr>
      <w:r>
        <w:t xml:space="preserve">The</w:t>
      </w:r>
      <w:r>
        <w:t xml:space="preserve"> </w:t>
      </w:r>
      <w:r>
        <w:rPr>
          <w:rStyle w:val="Fill-in"/>
        </w:rPr>
        <w:t xml:space="preserve">[System owner]</w:t>
      </w:r>
      <w:r>
        <w:t xml:space="preserve"> </w:t>
      </w:r>
      <w:r>
        <w:t xml:space="preserve">shall ensure a written agreement is in place for each interface between the system and a system that a contractor or other entity uses or operates on behalf of the agency, as OMB Circular A-130, Appendix I, section 4.j(2)(f), requires. (CA-3a)</w:t>
      </w:r>
    </w:p>
    <w:bookmarkEnd w:id="30"/>
    <w:bookmarkEnd w:id="31"/>
    <w:bookmarkStart w:id="32" w:name="transfer-authorizations-ca-36"/>
    <w:p>
      <w:pPr>
        <w:pStyle w:val="Heading3"/>
      </w:pPr>
      <w:r>
        <w:t xml:space="preserve">Transfer authorizations (CA-3(6))</w:t>
      </w:r>
    </w:p>
    <w:p>
      <w:pPr>
        <w:pStyle w:val="Guidance"/>
      </w:pPr>
      <w:r>
        <w:t xml:space="preserve">Transfer authorization checks the sender, not only the connection: before the system accepts data from an interconnected system, it confirms that the person or system sending it is permitted to write that data. Service accounts used for transfers are the usual gap; give each one only the write permissions its exchange agreement names.</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system verifies that individuals or systems transferring data between interconnecting systems have the requisite authorizations, such as write permissions or privileges, before it accepts the data. (CA-3(6))</w:t>
      </w:r>
    </w:p>
    <w:p>
      <w:pPr>
        <w:pStyle w:val="Compact"/>
        <w:numPr>
          <w:ilvl w:val="0"/>
          <w:numId w:val="1010"/>
        </w:numPr>
      </w:pPr>
      <w:r>
        <w:t xml:space="preserve">Each exchange agreement shall name the accounts or systems authorized to transfer data under it and the permissions each holds. (CA-3(6))</w:t>
      </w:r>
    </w:p>
    <w:bookmarkEnd w:id="32"/>
    <w:bookmarkStart w:id="35" w:name="plan-of-action-and-milestones-ca-5"/>
    <w:p>
      <w:pPr>
        <w:pStyle w:val="Heading3"/>
      </w:pPr>
      <w:r>
        <w:t xml:space="preserve">Plan of action and milestones (CA-5)</w:t>
      </w:r>
    </w:p>
    <w:p>
      <w:pPr>
        <w:pStyle w:val="Guidance"/>
      </w:pPr>
      <w:r>
        <w:t xml:space="preserve">The plan of action and milestones (POA&amp;M) records every known weakness until it is fixed or formally accepted. It connects assessments to remediation, and assessors read it closely because it shows whether the organization acts on what it finds. The</w:t>
      </w:r>
      <w:r>
        <w:t xml:space="preserve"> </w:t>
      </w:r>
      <w:hyperlink r:id="rId33">
        <w:r>
          <w:rPr>
            <w:rStyle w:val="Hyperlink"/>
          </w:rPr>
          <w:t xml:space="preserve">POA&amp;M template</w:t>
        </w:r>
      </w:hyperlink>
      <w:r>
        <w:t xml:space="preserve"> </w:t>
      </w:r>
      <w:r>
        <w:t xml:space="preserve">lists the fields. Weaknesses in inherited common controls belong on the POA&amp;M of the organization that provides them.</w:t>
      </w:r>
    </w:p>
    <w:p>
      <w:pPr>
        <w:pStyle w:val="Compact"/>
        <w:numPr>
          <w:ilvl w:val="0"/>
          <w:numId w:val="1011"/>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11"/>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11"/>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11"/>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p>
      <w:pPr>
        <w:pStyle w:val="Guidance"/>
      </w:pPr>
      <w:r>
        <w:t xml:space="preserve">A weakness the organization decides not to fix goes through risk acceptance (RA-7), within the tolerance the risk management strategy sets. Record the acceptance and its review date against the item, so an assessor can trace every finding to either a fix or a decision.</w:t>
      </w:r>
    </w:p>
    <w:bookmarkStart w:id="34" w:name="federal-systems-2"/>
    <w:p>
      <w:pPr>
        <w:pStyle w:val="Heading4"/>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22">
        <w:r>
          <w:rPr>
            <w:rStyle w:val="Hyperlink"/>
          </w:rPr>
          <w:t xml:space="preserve">44 U.S.C. § 3554(b)(6)</w:t>
        </w:r>
      </w:hyperlink>
      <w:r>
        <w:t xml:space="preserve">).</w:t>
      </w:r>
      <w:r>
        <w:t xml:space="preserve"> </w:t>
      </w:r>
      <w:hyperlink r:id="rId23">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12"/>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34"/>
    <w:bookmarkEnd w:id="35"/>
    <w:bookmarkStart w:id="38" w:name="authorization-ca-6"/>
    <w:p>
      <w:pPr>
        <w:pStyle w:val="Heading3"/>
      </w:pPr>
      <w:r>
        <w:t xml:space="preserve">Authorization (CA-6)</w:t>
      </w:r>
    </w:p>
    <w:p>
      <w:pPr>
        <w:pStyle w:val="Guidance"/>
      </w:pPr>
      <w:r>
        <w:t xml:space="preserve">Authorization is a senior official’s decision to accept the risk of operating a system, based on the authorization package: the system security plan, the</w:t>
      </w:r>
      <w:r>
        <w:t xml:space="preserve"> </w:t>
      </w:r>
      <w:hyperlink r:id="rId20">
        <w:r>
          <w:rPr>
            <w:rStyle w:val="Hyperlink"/>
          </w:rPr>
          <w:t xml:space="preserve">assessment report</w:t>
        </w:r>
      </w:hyperlink>
      <w:r>
        <w:t xml:space="preserve"> </w:t>
      </w:r>
      <w:r>
        <w:t xml:space="preserve">and the plan of action and milestones. The authorizing official should have budget or mission responsibility for the system, so the person who accepts the risk also owns its consequences. Ongoing authorization replaces the fixed termination date with decisions made from continuous monitoring results; it needs an initial authorization and a working continuous monitoring program (CA-7) first.</w:t>
      </w:r>
    </w:p>
    <w:p>
      <w:pPr>
        <w:pStyle w:val="Compact"/>
        <w:numPr>
          <w:ilvl w:val="0"/>
          <w:numId w:val="1013"/>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13"/>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13"/>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13"/>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13"/>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13"/>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13"/>
        </w:numPr>
      </w:pPr>
      <w:r>
        <w:t xml:space="preserve">When the authorizing official changes, the new authorizing official shall review the current authorization and either accept the documented risk in a new signed decision or begin a reauthorization. (CA-6e)</w:t>
      </w:r>
    </w:p>
    <w:bookmarkStart w:id="37" w:name="federal-systems-3"/>
    <w:p>
      <w:pPr>
        <w:pStyle w:val="Heading4"/>
      </w:pPr>
      <w:r>
        <w:t xml:space="preserve">Federal systems</w:t>
      </w:r>
    </w:p>
    <w:p>
      <w:pPr>
        <w:pStyle w:val="FirstParagraph"/>
      </w:pPr>
      <w:hyperlink r:id="rId23">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36">
        <w:r>
          <w:rPr>
            <w:rStyle w:val="Hyperlink"/>
          </w:rPr>
          <w:t xml:space="preserve">December 2018</w:t>
        </w:r>
      </w:hyperlink>
      <w:r>
        <w:t xml:space="preserve">, current as of September 2026) describes the authorization tasks. As of September 2026.</w:t>
      </w:r>
    </w:p>
    <w:p>
      <w:pPr>
        <w:pStyle w:val="Compact"/>
        <w:numPr>
          <w:ilvl w:val="0"/>
          <w:numId w:val="1014"/>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14"/>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14"/>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37"/>
    <w:bookmarkEnd w:id="38"/>
    <w:bookmarkStart w:id="42" w:name="continuous-monitoring-ca-7"/>
    <w:p>
      <w:pPr>
        <w:pStyle w:val="Heading3"/>
      </w:pPr>
      <w:r>
        <w:t xml:space="preserve">Continuous monitoring (CA-7)</w:t>
      </w:r>
    </w:p>
    <w:p>
      <w:pPr>
        <w:pStyle w:val="Guidance"/>
      </w:pPr>
      <w:r>
        <w:t xml:space="preserve">Continuous monitoring keeps the authorization current between full assessments. The system’s</w:t>
      </w:r>
      <w:r>
        <w:t xml:space="preserve"> </w:t>
      </w:r>
      <w:hyperlink r:id="rId39">
        <w:r>
          <w:rPr>
            <w:rStyle w:val="Hyperlink"/>
          </w:rPr>
          <w:t xml:space="preserve">Continuous Monitoring Strategy</w:t>
        </w:r>
      </w:hyperlink>
      <w:r>
        <w:t xml:space="preserve"> </w:t>
      </w:r>
      <w:r>
        <w:t xml:space="preserve">follows the organization-wide strategy (PM-31) and sets what is measured, how often each control is monitored and assessed, how results are analyzed and acted on, and how often the system’s status is reported. A common approach assigns each control a frequency by how often it changes: vulnerability management monthly, physical security annually. NIST SP 800-137 (</w:t>
      </w:r>
      <w:hyperlink r:id="rId40">
        <w:r>
          <w:rPr>
            <w:rStyle w:val="Hyperlink"/>
          </w:rPr>
          <w:t xml:space="preserve">September 2011</w:t>
        </w:r>
      </w:hyperlink>
      <w:r>
        <w:t xml:space="preserve">, current as of September 2026) describes information security continuous monitoring.</w:t>
      </w:r>
    </w:p>
    <w:p>
      <w:pPr>
        <w:pStyle w:val="Compact"/>
        <w:numPr>
          <w:ilvl w:val="0"/>
          <w:numId w:val="1015"/>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15"/>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15"/>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15"/>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15"/>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15"/>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15"/>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15"/>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15"/>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15"/>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15"/>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p>
      <w:pPr>
        <w:pStyle w:val="Guidance"/>
      </w:pPr>
      <w:r>
        <w:t xml:space="preserve">Give the system owner the metrics monthly, even when the authorizing official receives a quarterly report, so action is not left to the formal report. The organization-wide strategy (PM-31) may need each system’s data monthly for its own reports. The frequencies set here should also match the assessment frequency under CA-2d, since the yearly assessment is usually the continuous monitoring assessments of that year.</w:t>
      </w:r>
    </w:p>
    <w:bookmarkStart w:id="41" w:name="federal-systems-4"/>
    <w:p>
      <w:pPr>
        <w:pStyle w:val="Heading4"/>
      </w:pPr>
      <w:r>
        <w:t xml:space="preserve">Federal systems</w:t>
      </w:r>
    </w:p>
    <w:p>
      <w:pPr>
        <w:pStyle w:val="FirstParagraph"/>
      </w:pPr>
      <w:hyperlink r:id="rId23">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16"/>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16"/>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41"/>
    <w:bookmarkEnd w:id="42"/>
    <w:bookmarkStart w:id="43" w:name="independent-assessment-ca-71"/>
    <w:p>
      <w:pPr>
        <w:pStyle w:val="Heading3"/>
      </w:pPr>
      <w:r>
        <w:t xml:space="preserve">Independent assessment (CA-7(1))</w:t>
      </w:r>
    </w:p>
    <w:p>
      <w:pPr>
        <w:pStyle w:val="Guidance"/>
      </w:pPr>
      <w:r>
        <w:t xml:space="preserve">The independence rules of CA-2(1) apply to ongoing assessments too. Automated monitoring data can come from the system’s own tools, but the people who assess what the data shows should not be the system’s administrators. Common ways to meet it are a continuous monitoring team in the security office or the same third-party assessor that performs the yearly assessment.</w:t>
      </w:r>
    </w:p>
    <w:p>
      <w:pPr>
        <w:pStyle w:val="Compact"/>
        <w:numPr>
          <w:ilvl w:val="0"/>
          <w:numId w:val="1017"/>
        </w:numPr>
      </w:pPr>
      <w:r>
        <w:t xml:space="preserve">The</w:t>
      </w:r>
      <w:r>
        <w:t xml:space="preserve"> </w:t>
      </w:r>
      <w:r>
        <w:rPr>
          <w:rStyle w:val="Fill-in"/>
        </w:rPr>
        <w:t xml:space="preserve">[Chief Information Security Officer]</w:t>
      </w:r>
      <w:r>
        <w:t xml:space="preserve"> </w:t>
      </w:r>
      <w:r>
        <w:t xml:space="preserve">shall employ independent assessors or assessment teams to monitor the controls in the system on an ongoing basis. (CA-7(1))</w:t>
      </w:r>
    </w:p>
    <w:p>
      <w:pPr>
        <w:pStyle w:val="Compact"/>
        <w:numPr>
          <w:ilvl w:val="0"/>
          <w:numId w:val="1017"/>
        </w:numPr>
      </w:pPr>
      <w:r>
        <w:t xml:space="preserve">The ongoing assessors shall meet the independence the authorizing official set for the system under CA-2(1). (CA-7(1))</w:t>
      </w:r>
    </w:p>
    <w:bookmarkEnd w:id="43"/>
    <w:bookmarkStart w:id="44" w:name="risk-monitoring-ca-74"/>
    <w:p>
      <w:pPr>
        <w:pStyle w:val="Heading3"/>
      </w:pPr>
      <w:r>
        <w:t xml:space="preserve">Risk monitoring (CA-7(4))</w:t>
      </w:r>
    </w:p>
    <w:p>
      <w:pPr>
        <w:pStyle w:val="Guidance"/>
      </w:pPr>
      <w:r>
        <w:t xml:space="preserve">Risk monitoring ties continuous monitoring to the risk tolerance in the risk management strategy (PM-9). Effectiveness monitoring asks whether the risk responses work, compliance monitoring asks whether they are in place, and change monitoring looks for changes that could alter the risk. Change monitoring usually draws on configuration change control (CM-3), security impact analyses (CM-4) and the component inventory (CM-8).</w:t>
      </w:r>
    </w:p>
    <w:p>
      <w:pPr>
        <w:pStyle w:val="Compact"/>
        <w:numPr>
          <w:ilvl w:val="0"/>
          <w:numId w:val="1018"/>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18"/>
        </w:numPr>
      </w:pPr>
      <w:r>
        <w:t xml:space="preserve">The strategy shall include effectiveness monitoring, to determine whether the implemented risk response measures remain effective. (CA-7(4)(a))</w:t>
      </w:r>
    </w:p>
    <w:p>
      <w:pPr>
        <w:pStyle w:val="Compact"/>
        <w:numPr>
          <w:ilvl w:val="0"/>
          <w:numId w:val="1018"/>
        </w:numPr>
      </w:pPr>
      <w:r>
        <w:t xml:space="preserve">The strategy shall include compliance monitoring, to verify that required risk response measures are implemented and that security and privacy requirements are satisfied. (CA-7(4)(b))</w:t>
      </w:r>
    </w:p>
    <w:p>
      <w:pPr>
        <w:pStyle w:val="Compact"/>
        <w:numPr>
          <w:ilvl w:val="0"/>
          <w:numId w:val="1018"/>
        </w:numPr>
      </w:pPr>
      <w:r>
        <w:t xml:space="preserve">The strategy shall include change monitoring, to identify changes to the system and its environment of operation that may affect security and privacy risk. (CA-7(4)(c))</w:t>
      </w:r>
    </w:p>
    <w:bookmarkEnd w:id="44"/>
    <w:bookmarkStart w:id="46" w:name="penetration-testing-ca-8"/>
    <w:p>
      <w:pPr>
        <w:pStyle w:val="Heading3"/>
      </w:pPr>
      <w:r>
        <w:t xml:space="preserve">Penetration testing (CA-8)</w:t>
      </w:r>
    </w:p>
    <w:p>
      <w:pPr>
        <w:pStyle w:val="Guidance"/>
      </w:pPr>
      <w:r>
        <w:t xml:space="preserve">Penetration testing goes beyond automated vulnerability scanning: skilled testers try to exploit weaknesses the way an adversary would, within agreed limits of time, scope and method. Written rules of engagement, approved before testing, set the scope, times, methods allowed, contacts and how a test is stopped. NIST SP 800-115, Technical Guide to Information Security Testing and Assessment (</w:t>
      </w:r>
      <w:hyperlink r:id="rId45">
        <w:r>
          <w:rPr>
            <w:rStyle w:val="Hyperlink"/>
          </w:rPr>
          <w:t xml:space="preserve">September 2008</w:t>
        </w:r>
      </w:hyperlink>
      <w:r>
        <w:t xml:space="preserve">, current as of September 2026), describes planning and running penetration tests.</w:t>
      </w:r>
    </w:p>
    <w:p>
      <w:pPr>
        <w:pStyle w:val="Compact"/>
        <w:numPr>
          <w:ilvl w:val="0"/>
          <w:numId w:val="1019"/>
        </w:numPr>
      </w:pPr>
      <w:r>
        <w:t xml:space="preserve">The</w:t>
      </w:r>
      <w:r>
        <w:t xml:space="preserve"> </w:t>
      </w:r>
      <w:r>
        <w:rPr>
          <w:rStyle w:val="Fill-in"/>
        </w:rPr>
        <w:t xml:space="preserve">[Chief Information Security Officer]</w:t>
      </w:r>
      <w:r>
        <w:t xml:space="preserve"> </w:t>
      </w:r>
      <w:r>
        <w:t xml:space="preserve">shall conduct penetration testing</w:t>
      </w:r>
      <w:r>
        <w:t xml:space="preserve"> </w:t>
      </w:r>
      <w:r>
        <w:rPr>
          <w:rStyle w:val="Fill-in"/>
        </w:rPr>
        <w:t xml:space="preserve">[Fill in: frequency at which to conduct penetration testing on systems or system components. Typical: at least annually, and after a significant change to the system]</w:t>
      </w:r>
      <w:r>
        <w:t xml:space="preserve"> </w:t>
      </w:r>
      <w:r>
        <w:t xml:space="preserve">on</w:t>
      </w:r>
      <w:r>
        <w:t xml:space="preserve"> </w:t>
      </w:r>
      <w:r>
        <w:rPr>
          <w:rStyle w:val="Fill-in"/>
        </w:rPr>
        <w:t xml:space="preserve">[Fill in: systems or system components on which penetration testing is to be conducted. Typical: the system’s internet-facing components and applications, and a sample of its internal components]</w:t>
      </w:r>
      <w:r>
        <w:t xml:space="preserve">. (CA-8)</w:t>
      </w:r>
    </w:p>
    <w:p>
      <w:pPr>
        <w:pStyle w:val="Compact"/>
        <w:numPr>
          <w:ilvl w:val="0"/>
          <w:numId w:val="1019"/>
        </w:numPr>
      </w:pPr>
      <w:r>
        <w:t xml:space="preserve">The authorizing official shall approve written rules of engagement, covering scope, timing, methods, contacts and how testing is stopped, before each penetration test begins. (CA-8)</w:t>
      </w:r>
    </w:p>
    <w:p>
      <w:pPr>
        <w:pStyle w:val="Compact"/>
        <w:numPr>
          <w:ilvl w:val="0"/>
          <w:numId w:val="1019"/>
        </w:numPr>
      </w:pPr>
      <w:r>
        <w:t xml:space="preserve">The</w:t>
      </w:r>
      <w:r>
        <w:t xml:space="preserve"> </w:t>
      </w:r>
      <w:r>
        <w:rPr>
          <w:rStyle w:val="Fill-in"/>
        </w:rPr>
        <w:t xml:space="preserve">[System owner]</w:t>
      </w:r>
      <w:r>
        <w:t xml:space="preserve"> </w:t>
      </w:r>
      <w:r>
        <w:t xml:space="preserve">shall enter each weakness a penetration test finds into the system’s plan of action and milestones or vulnerability remediation process. (CA-8)</w:t>
      </w:r>
    </w:p>
    <w:bookmarkEnd w:id="46"/>
    <w:bookmarkStart w:id="47" w:name="Xc5b067fdd5c2bdc4d69bf6f12682098b0fd5a11"/>
    <w:p>
      <w:pPr>
        <w:pStyle w:val="Heading3"/>
      </w:pPr>
      <w:r>
        <w:t xml:space="preserve">Independent penetration testing agent or team (CA-8(1))</w:t>
      </w:r>
    </w:p>
    <w:p>
      <w:pPr>
        <w:pStyle w:val="Guidance"/>
      </w:pPr>
      <w:r>
        <w:t xml:space="preserve">An independent penetration testing team is one with no conflict of interest in the system, as for independent assessors under CA-2(1). It can be an internal red team outside the system’s chain of command or an outside firm.</w:t>
      </w:r>
    </w:p>
    <w:p>
      <w:pPr>
        <w:pStyle w:val="Compact"/>
        <w:numPr>
          <w:ilvl w:val="0"/>
          <w:numId w:val="1020"/>
        </w:numPr>
      </w:pPr>
      <w:r>
        <w:t xml:space="preserve">The</w:t>
      </w:r>
      <w:r>
        <w:t xml:space="preserve"> </w:t>
      </w:r>
      <w:r>
        <w:rPr>
          <w:rStyle w:val="Fill-in"/>
        </w:rPr>
        <w:t xml:space="preserve">[Chief Information Security Officer]</w:t>
      </w:r>
      <w:r>
        <w:t xml:space="preserve"> </w:t>
      </w:r>
      <w:r>
        <w:t xml:space="preserve">shall employ an independent penetration testing agent or team to perform penetration testing on the system or system components. (CA-8(1))</w:t>
      </w:r>
    </w:p>
    <w:bookmarkEnd w:id="47"/>
    <w:bookmarkStart w:id="48" w:name="internal-system-connections-ca-9"/>
    <w:p>
      <w:pPr>
        <w:pStyle w:val="Heading3"/>
      </w:pPr>
      <w:r>
        <w:t xml:space="preserve">Internal system connections (CA-9)</w:t>
      </w:r>
    </w:p>
    <w:p>
      <w:pPr>
        <w:pStyle w:val="Guidance"/>
      </w:pPr>
      <w:r>
        <w:t xml:space="preserve">Internal connections are connections between the system and its own separate components, such as printers or mobile devices, rather than other systems (CA-3). NIST’s CA-9 discussion lets the organization authorize a whole class of components with a common configuration instead of each device, which is the usual approach. Record each authorized class in the system security plan.</w:t>
      </w:r>
    </w:p>
    <w:p>
      <w:pPr>
        <w:pStyle w:val="Compact"/>
        <w:numPr>
          <w:ilvl w:val="0"/>
          <w:numId w:val="1021"/>
        </w:numPr>
      </w:pPr>
      <w:r>
        <w:t xml:space="preserve">The</w:t>
      </w:r>
      <w:r>
        <w:t xml:space="preserve"> </w:t>
      </w:r>
      <w:r>
        <w:rPr>
          <w:rStyle w:val="Fill-in"/>
        </w:rPr>
        <w:t xml:space="preserve">[System owner]</w:t>
      </w:r>
      <w:r>
        <w:t xml:space="preserve"> </w:t>
      </w:r>
      <w:r>
        <w:t xml:space="preserve">shall authorize internal connections of</w:t>
      </w:r>
      <w:r>
        <w:t xml:space="preserve"> </w:t>
      </w:r>
      <w:r>
        <w:rPr>
          <w:rStyle w:val="Fill-in"/>
        </w:rPr>
        <w:t xml:space="preserve">[Fill in: system components or classes of components requiring internal connections to the system. Typical: classes of components that connect to the system from inside its boundary, such as printers, scanners, copiers, sensors, and mobile devices with the approved baseline configuration]</w:t>
      </w:r>
      <w:r>
        <w:t xml:space="preserve"> </w:t>
      </w:r>
      <w:r>
        <w:t xml:space="preserve">to the system. (CA-9a)</w:t>
      </w:r>
    </w:p>
    <w:p>
      <w:pPr>
        <w:pStyle w:val="Compact"/>
        <w:numPr>
          <w:ilvl w:val="0"/>
          <w:numId w:val="1021"/>
        </w:numPr>
      </w:pPr>
      <w:r>
        <w:t xml:space="preserve">The</w:t>
      </w:r>
      <w:r>
        <w:t xml:space="preserve"> </w:t>
      </w:r>
      <w:r>
        <w:rPr>
          <w:rStyle w:val="Fill-in"/>
        </w:rPr>
        <w:t xml:space="preserve">[System owner]</w:t>
      </w:r>
      <w:r>
        <w:t xml:space="preserve"> </w:t>
      </w:r>
      <w:r>
        <w:t xml:space="preserve">shall document, for each internal connection or class of connection, the interface characteristics, the security and privacy requirements, and the nature of the information communicated, in the system security plan. (CA-9b)</w:t>
      </w:r>
    </w:p>
    <w:p>
      <w:pPr>
        <w:pStyle w:val="Compact"/>
        <w:numPr>
          <w:ilvl w:val="0"/>
          <w:numId w:val="1021"/>
        </w:numPr>
      </w:pPr>
      <w:r>
        <w:t xml:space="preserve">The</w:t>
      </w:r>
      <w:r>
        <w:t xml:space="preserve"> </w:t>
      </w:r>
      <w:r>
        <w:rPr>
          <w:rStyle w:val="Fill-in"/>
        </w:rPr>
        <w:t xml:space="preserve">[System owner]</w:t>
      </w:r>
      <w:r>
        <w:t xml:space="preserve"> </w:t>
      </w:r>
      <w:r>
        <w:t xml:space="preserve">shall terminate an internal system connection when</w:t>
      </w:r>
      <w:r>
        <w:t xml:space="preserve"> </w:t>
      </w:r>
      <w:r>
        <w:rPr>
          <w:rStyle w:val="Fill-in"/>
        </w:rPr>
        <w:t xml:space="preserve">[Fill in: conditions requiring termination of internal connections. Typical: the component is retired or reassigned, fails a compliance check, is involved in an incident, or no longer needs the connection]</w:t>
      </w:r>
      <w:r>
        <w:t xml:space="preserve">. (CA-9c)</w:t>
      </w:r>
    </w:p>
    <w:p>
      <w:pPr>
        <w:pStyle w:val="Compact"/>
        <w:numPr>
          <w:ilvl w:val="0"/>
          <w:numId w:val="1021"/>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frequency at which to review the continued need for each internal connection. Typical: at least annually]</w:t>
      </w:r>
      <w:r>
        <w:t xml:space="preserve"> </w:t>
      </w:r>
      <w:r>
        <w:t xml:space="preserve">the continued need for each internal connection, based on whether it supports the organization’s missions or business functions. (CA-9d)</w:t>
      </w:r>
    </w:p>
    <w:bookmarkEnd w:id="48"/>
    <w:bookmarkEnd w:id="49"/>
    <w:bookmarkStart w:id="51" w:name="review-and-update"/>
    <w:p>
      <w:pPr>
        <w:pStyle w:val="Heading2"/>
      </w:pPr>
      <w:r>
        <w:t xml:space="preserve">Review and update</w:t>
      </w:r>
    </w:p>
    <w:p>
      <w:pPr>
        <w:pStyle w:val="Compact"/>
        <w:numPr>
          <w:ilvl w:val="0"/>
          <w:numId w:val="1022"/>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assessment, authorization, and monitoring policy is reviewed and updated. Typical: annually]</w:t>
      </w:r>
      <w:r>
        <w:t xml:space="preserve"> </w:t>
      </w:r>
      <w:r>
        <w:t xml:space="preserve">and following</w:t>
      </w:r>
      <w:r>
        <w:t xml:space="preserve"> </w:t>
      </w:r>
      <w:r>
        <w:rPr>
          <w:rStyle w:val="Fill-in"/>
        </w:rPr>
        <w:t xml:space="preserve">[Fill in: events that would require the current assessment, authorization, and monitoring policy to be reviewed and updated. Typical: assessment or audit findings, security incidents or breaches, and changes in applicable laws, executive orders, directives, regulations, policies, standards or guidelines]</w:t>
      </w:r>
      <w:r>
        <w:t xml:space="preserve">. (CA-1c.1)</w:t>
      </w:r>
    </w:p>
    <w:p>
      <w:pPr>
        <w:pStyle w:val="Compact"/>
        <w:numPr>
          <w:ilvl w:val="0"/>
          <w:numId w:val="1022"/>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assessment, authorization, and monitoring procedures are reviewed and updated. Typical: annually]</w:t>
      </w:r>
      <w:r>
        <w:t xml:space="preserve"> </w:t>
      </w:r>
      <w:r>
        <w:t xml:space="preserve">and following</w:t>
      </w:r>
      <w:r>
        <w:t xml:space="preserve"> </w:t>
      </w:r>
      <w:r>
        <w:rPr>
          <w:rStyle w:val="Fill-in"/>
        </w:rPr>
        <w:t xml:space="preserve">[Fill in: events that would require assessment, authorization, and monitoring procedures to be reviewed and updated. Typical: the same events as the policy, and changes to the systems, tools or services the procedures describe]</w:t>
      </w:r>
      <w:r>
        <w:t xml:space="preserve">. (CA-1c.2)</w:t>
      </w:r>
    </w:p>
    <w:bookmarkStart w:id="50" w:name="federal-systems-5"/>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2">
        <w:r>
          <w:rPr>
            <w:rStyle w:val="Hyperlink"/>
          </w:rPr>
          <w:t xml:space="preserve">44 U.S.C. § 3554</w:t>
        </w:r>
      </w:hyperlink>
      <w:r>
        <w:t xml:space="preserve">, Federal agency responsibilities) and</w:t>
      </w:r>
      <w:r>
        <w:t xml:space="preserve"> </w:t>
      </w:r>
      <w:hyperlink r:id="rId23">
        <w:r>
          <w:rPr>
            <w:rStyle w:val="Hyperlink"/>
          </w:rPr>
          <w:t xml:space="preserve">OMB Circular A-130</w:t>
        </w:r>
      </w:hyperlink>
      <w:r>
        <w:t xml:space="preserve">, Appendix I, Responsibilities for Protecting and Managing Federal Information Resources.</w:t>
      </w:r>
    </w:p>
    <w:p>
      <w:pPr>
        <w:pStyle w:val="Compact"/>
        <w:numPr>
          <w:ilvl w:val="0"/>
          <w:numId w:val="1023"/>
        </w:numPr>
      </w:pPr>
      <w:r>
        <w:t xml:space="preserve">Where the agency’s organization-wide policy sets a value for a parameter in this policy, each system shall use that value or a stricter one. (CA-1a.1(b))</w:t>
      </w:r>
    </w:p>
    <w:bookmarkEnd w:id="50"/>
    <w:bookmarkEnd w:id="51"/>
    <w:bookmarkEnd w:id="52"/>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Assessment, Authorization, and Monitoring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45" Target="https://csrc.nist.gov/pubs/sp/800/115/final" TargetMode="External" /><Relationship Type="http://schemas.openxmlformats.org/officeDocument/2006/relationships/hyperlink" Id="rId40" Target="https://csrc.nist.gov/pubs/sp/800/137/final" TargetMode="External" /><Relationship Type="http://schemas.openxmlformats.org/officeDocument/2006/relationships/hyperlink" Id="rId36" Target="https://csrc.nist.gov/pubs/sp/800/37/r2/final" TargetMode="External" /><Relationship Type="http://schemas.openxmlformats.org/officeDocument/2006/relationships/hyperlink" Id="rId29" Target="https://csrc.nist.gov/pubs/sp/800/47/r1/final" TargetMode="External" /><Relationship Type="http://schemas.openxmlformats.org/officeDocument/2006/relationships/hyperlink" Id="rId21" Target="https://csrc.nist.gov/pubs/sp/800/53/a/r5/final" TargetMode="External" /><Relationship Type="http://schemas.openxmlformats.org/officeDocument/2006/relationships/hyperlink" Id="rId28" Target="https://kston83.github.io/nist-guide/templates/forms/information-exchange-agreement/" TargetMode="External" /><Relationship Type="http://schemas.openxmlformats.org/officeDocument/2006/relationships/hyperlink" Id="rId33" Target="https://kston83.github.io/nist-guide/templates/forms/plan-of-action-and-milestones/" TargetMode="External" /><Relationship Type="http://schemas.openxmlformats.org/officeDocument/2006/relationships/hyperlink" Id="rId39" Target="https://kston83.github.io/nist-guide/templates/plans/continuous-monitoring-strategy/" TargetMode="External" /><Relationship Type="http://schemas.openxmlformats.org/officeDocument/2006/relationships/hyperlink" Id="rId19" Target="https://kston83.github.io/nist-guide/templates/plans/security-and-privacy-assessment-plan/" TargetMode="External" /><Relationship Type="http://schemas.openxmlformats.org/officeDocument/2006/relationships/hyperlink" Id="rId9" Target="https://kston83.github.io/nist-guide/templates/policies/ca/" TargetMode="External" /><Relationship Type="http://schemas.openxmlformats.org/officeDocument/2006/relationships/hyperlink" Id="rId20" Target="https://kston83.github.io/nist-guide/templates/reports/security-and-privacy-assessment-report/" TargetMode="External" /><Relationship Type="http://schemas.openxmlformats.org/officeDocument/2006/relationships/hyperlink" Id="rId22" Target="https://uscode.house.gov/view.xhtml?req=granuleid:USC-prelim-title44-section3554&amp;num=0&amp;edition=prelim" TargetMode="External" /><Relationship Type="http://schemas.openxmlformats.org/officeDocument/2006/relationships/hyperlink" Id="rId23"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45" Target="https://csrc.nist.gov/pubs/sp/800/115/final" TargetMode="External" /><Relationship Type="http://schemas.openxmlformats.org/officeDocument/2006/relationships/hyperlink" Id="rId40" Target="https://csrc.nist.gov/pubs/sp/800/137/final" TargetMode="External" /><Relationship Type="http://schemas.openxmlformats.org/officeDocument/2006/relationships/hyperlink" Id="rId36" Target="https://csrc.nist.gov/pubs/sp/800/37/r2/final" TargetMode="External" /><Relationship Type="http://schemas.openxmlformats.org/officeDocument/2006/relationships/hyperlink" Id="rId29" Target="https://csrc.nist.gov/pubs/sp/800/47/r1/final" TargetMode="External" /><Relationship Type="http://schemas.openxmlformats.org/officeDocument/2006/relationships/hyperlink" Id="rId21" Target="https://csrc.nist.gov/pubs/sp/800/53/a/r5/final" TargetMode="External" /><Relationship Type="http://schemas.openxmlformats.org/officeDocument/2006/relationships/hyperlink" Id="rId28" Target="https://kston83.github.io/nist-guide/templates/forms/information-exchange-agreement/" TargetMode="External" /><Relationship Type="http://schemas.openxmlformats.org/officeDocument/2006/relationships/hyperlink" Id="rId33" Target="https://kston83.github.io/nist-guide/templates/forms/plan-of-action-and-milestones/" TargetMode="External" /><Relationship Type="http://schemas.openxmlformats.org/officeDocument/2006/relationships/hyperlink" Id="rId39" Target="https://kston83.github.io/nist-guide/templates/plans/continuous-monitoring-strategy/" TargetMode="External" /><Relationship Type="http://schemas.openxmlformats.org/officeDocument/2006/relationships/hyperlink" Id="rId19" Target="https://kston83.github.io/nist-guide/templates/plans/security-and-privacy-assessment-plan/" TargetMode="External" /><Relationship Type="http://schemas.openxmlformats.org/officeDocument/2006/relationships/hyperlink" Id="rId9" Target="https://kston83.github.io/nist-guide/templates/policies/ca/" TargetMode="External" /><Relationship Type="http://schemas.openxmlformats.org/officeDocument/2006/relationships/hyperlink" Id="rId20" Target="https://kston83.github.io/nist-guide/templates/reports/security-and-privacy-assessment-report/" TargetMode="External" /><Relationship Type="http://schemas.openxmlformats.org/officeDocument/2006/relationships/hyperlink" Id="rId22" Target="https://uscode.house.gov/view.xhtml?req=granuleid:USC-prelim-title44-section3554&amp;num=0&amp;edition=prelim" TargetMode="External" /><Relationship Type="http://schemas.openxmlformats.org/officeDocument/2006/relationships/hyperlink" Id="rId23"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