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792825c87b5edbba4dfd9bf4a7600b669548c6d"/>
    <w:p>
      <w:pPr>
        <w:pStyle w:val="Heading1"/>
      </w:pPr>
      <w:r>
        <w:t xml:space="preserve">Assessment, Authorization, and Monitoring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Assessment, Authorization, and Monitoring, and who is accountable for meeting those requirements. (CA-1a.1(a))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(CA-1a.1(a))</w:t>
      </w:r>
    </w:p>
    <w:p>
      <w:pPr>
        <w:pStyle w:val="Compact"/>
        <w:numPr>
          <w:ilvl w:val="0"/>
          <w:numId w:val="1001"/>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manage the development, documentation and dissemination of this policy and its procedures. (CA-1b)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(CA-1a.1(a))</w:t>
      </w:r>
    </w:p>
    <w:p>
      <w:pPr>
        <w:pStyle w:val="Compact"/>
        <w:numPr>
          <w:ilvl w:val="0"/>
          <w:numId w:val="1002"/>
        </w:numPr>
      </w:pPr>
      <w:r>
        <w:t xml:space="preserve">Violations of this policy shall be handled through the organization’s sanctions process. (CA-1a.1(a))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ensure that documented procedures exist to implement this policy and its associated controls. (CA-1a.2)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assessment, authorization, and monitoring policy is to be disseminated. Typical: everyone within its scope, through the policy library]</w:t>
      </w:r>
      <w:r>
        <w:t xml:space="preserve">. (CA-1a)</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assessment, authorization, and monitoring procedures are to be disseminated. Typical: the people who carry them out, and the system owners]</w:t>
      </w:r>
      <w:r>
        <w:t xml:space="preserve">. (CA-1a)</w:t>
      </w:r>
    </w:p>
    <w:bookmarkEnd w:id="18"/>
    <w:bookmarkStart w:id="34" w:name="policy-statements"/>
    <w:p>
      <w:pPr>
        <w:pStyle w:val="Heading2"/>
      </w:pPr>
      <w:r>
        <w:t xml:space="preserve">Policy statements</w:t>
      </w:r>
    </w:p>
    <w:bookmarkStart w:id="22" w:name="control-assessments-ca-2"/>
    <w:p>
      <w:pPr>
        <w:pStyle w:val="Heading3"/>
      </w:pPr>
      <w:r>
        <w:t xml:space="preserve">Control assessments (CA-2)</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04"/>
        </w:numPr>
      </w:pPr>
      <w:r>
        <w:t xml:space="preserve">The assessor shall develop an assessment plan that names the controls and control enhancements under assessment. (CA-2b.1)</w:t>
      </w:r>
    </w:p>
    <w:p>
      <w:pPr>
        <w:pStyle w:val="Compact"/>
        <w:numPr>
          <w:ilvl w:val="0"/>
          <w:numId w:val="1004"/>
        </w:numPr>
      </w:pPr>
      <w:r>
        <w:t xml:space="preserve">The assessment plan shall describe the assessment procedures used to determine control effectiveness. (CA-2b.2)</w:t>
      </w:r>
    </w:p>
    <w:p>
      <w:pPr>
        <w:pStyle w:val="Compact"/>
        <w:numPr>
          <w:ilvl w:val="0"/>
          <w:numId w:val="1004"/>
        </w:numPr>
      </w:pPr>
      <w:r>
        <w:t xml:space="preserve">The assessment plan shall describe the assessment environment, the assessment team, and the assessment roles and responsibilities. (CA-2b.3)</w:t>
      </w:r>
    </w:p>
    <w:p>
      <w:pPr>
        <w:pStyle w:val="Compact"/>
        <w:numPr>
          <w:ilvl w:val="0"/>
          <w:numId w:val="100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0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0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0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0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bookmarkStart w:id="21" w:name="federal-systems"/>
    <w:p>
      <w:pPr>
        <w:pStyle w:val="Heading4"/>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19">
        <w:r>
          <w:rPr>
            <w:rStyle w:val="Hyperlink"/>
          </w:rPr>
          <w:t xml:space="preserve">44 U.S.C. § 3554(b)(5)</w:t>
        </w:r>
      </w:hyperlink>
      <w:r>
        <w:t xml:space="preserve">).</w:t>
      </w:r>
      <w:r>
        <w:t xml:space="preserve"> </w:t>
      </w:r>
      <w:hyperlink r:id="rId20">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21"/>
    <w:bookmarkEnd w:id="22"/>
    <w:bookmarkStart w:id="24" w:name="information-exchange-ca-3"/>
    <w:p>
      <w:pPr>
        <w:pStyle w:val="Heading3"/>
      </w:pPr>
      <w:r>
        <w:t xml:space="preserve">Information exchange (CA-3)</w:t>
      </w:r>
    </w:p>
    <w:p>
      <w:pPr>
        <w:pStyle w:val="Compact"/>
        <w:numPr>
          <w:ilvl w:val="0"/>
          <w:numId w:val="1006"/>
        </w:numPr>
      </w:pPr>
      <w:r>
        <w:t xml:space="preserve">The authorizing official shall approve each exchange of information between the system and another system before the exchange begins. (CA-3a)</w:t>
      </w:r>
    </w:p>
    <w:p>
      <w:pPr>
        <w:pStyle w:val="Compact"/>
        <w:numPr>
          <w:ilvl w:val="0"/>
          <w:numId w:val="1006"/>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06"/>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06"/>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06"/>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06"/>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23" w:name="federal-systems-1"/>
    <w:p>
      <w:pPr>
        <w:pStyle w:val="Heading4"/>
      </w:pPr>
      <w:r>
        <w:t xml:space="preserve">Federal systems</w:t>
      </w:r>
    </w:p>
    <w:p>
      <w:pPr>
        <w:pStyle w:val="FirstParagraph"/>
      </w:pPr>
      <w:hyperlink r:id="rId20">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07"/>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07"/>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23"/>
    <w:bookmarkEnd w:id="24"/>
    <w:bookmarkStart w:id="26" w:name="plan-of-action-and-milestones-ca-5"/>
    <w:p>
      <w:pPr>
        <w:pStyle w:val="Heading3"/>
      </w:pPr>
      <w:r>
        <w:t xml:space="preserve">Plan of action and milestones (CA-5)</w:t>
      </w:r>
    </w:p>
    <w:p>
      <w:pPr>
        <w:pStyle w:val="Compact"/>
        <w:numPr>
          <w:ilvl w:val="0"/>
          <w:numId w:val="1008"/>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08"/>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08"/>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08"/>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bookmarkStart w:id="25" w:name="federal-systems-2"/>
    <w:p>
      <w:pPr>
        <w:pStyle w:val="Heading4"/>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19">
        <w:r>
          <w:rPr>
            <w:rStyle w:val="Hyperlink"/>
          </w:rPr>
          <w:t xml:space="preserve">44 U.S.C. § 3554(b)(6)</w:t>
        </w:r>
      </w:hyperlink>
      <w:r>
        <w:t xml:space="preserve">).</w:t>
      </w:r>
      <w:r>
        <w:t xml:space="preserve"> </w:t>
      </w:r>
      <w:hyperlink r:id="rId20">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25"/>
    <w:bookmarkEnd w:id="26"/>
    <w:bookmarkStart w:id="29" w:name="authorization-ca-6"/>
    <w:p>
      <w:pPr>
        <w:pStyle w:val="Heading3"/>
      </w:pPr>
      <w:r>
        <w:t xml:space="preserve">Authorization (CA-6)</w:t>
      </w:r>
    </w:p>
    <w:p>
      <w:pPr>
        <w:pStyle w:val="Compact"/>
        <w:numPr>
          <w:ilvl w:val="0"/>
          <w:numId w:val="1010"/>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10"/>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10"/>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10"/>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10"/>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10"/>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10"/>
        </w:numPr>
      </w:pPr>
      <w:r>
        <w:t xml:space="preserve">When the authorizing official changes, the new authorizing official shall review the current authorization and either accept the documented risk in a new signed decision or begin a reauthorization. (CA-6e)</w:t>
      </w:r>
    </w:p>
    <w:bookmarkStart w:id="28" w:name="federal-systems-3"/>
    <w:p>
      <w:pPr>
        <w:pStyle w:val="Heading4"/>
      </w:pPr>
      <w:r>
        <w:t xml:space="preserve">Federal systems</w:t>
      </w:r>
    </w:p>
    <w:p>
      <w:pPr>
        <w:pStyle w:val="FirstParagraph"/>
      </w:pPr>
      <w:hyperlink r:id="rId20">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27">
        <w:r>
          <w:rPr>
            <w:rStyle w:val="Hyperlink"/>
          </w:rPr>
          <w:t xml:space="preserve">December 2018</w:t>
        </w:r>
      </w:hyperlink>
      <w:r>
        <w:t xml:space="preserve">, current as of September 2026) describes the authorization tasks. As of September 2026.</w:t>
      </w:r>
    </w:p>
    <w:p>
      <w:pPr>
        <w:pStyle w:val="Compact"/>
        <w:numPr>
          <w:ilvl w:val="0"/>
          <w:numId w:val="1011"/>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11"/>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11"/>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28"/>
    <w:bookmarkEnd w:id="29"/>
    <w:bookmarkStart w:id="31" w:name="continuous-monitoring-ca-7"/>
    <w:p>
      <w:pPr>
        <w:pStyle w:val="Heading3"/>
      </w:pPr>
      <w:r>
        <w:t xml:space="preserve">Continuous monitoring (CA-7)</w:t>
      </w:r>
    </w:p>
    <w:p>
      <w:pPr>
        <w:pStyle w:val="Compact"/>
        <w:numPr>
          <w:ilvl w:val="0"/>
          <w:numId w:val="1012"/>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12"/>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12"/>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12"/>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12"/>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12"/>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12"/>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12"/>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12"/>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12"/>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12"/>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bookmarkStart w:id="30" w:name="federal-systems-4"/>
    <w:p>
      <w:pPr>
        <w:pStyle w:val="Heading4"/>
      </w:pPr>
      <w:r>
        <w:t xml:space="preserve">Federal systems</w:t>
      </w:r>
    </w:p>
    <w:p>
      <w:pPr>
        <w:pStyle w:val="FirstParagraph"/>
      </w:pPr>
      <w:hyperlink r:id="rId20">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13"/>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30"/>
    <w:bookmarkEnd w:id="31"/>
    <w:bookmarkStart w:id="32" w:name="risk-monitoring-ca-74"/>
    <w:p>
      <w:pPr>
        <w:pStyle w:val="Heading3"/>
      </w:pPr>
      <w:r>
        <w:t xml:space="preserve">Risk monitoring (CA-7(4))</w:t>
      </w:r>
    </w:p>
    <w:p>
      <w:pPr>
        <w:pStyle w:val="Compact"/>
        <w:numPr>
          <w:ilvl w:val="0"/>
          <w:numId w:val="1014"/>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14"/>
        </w:numPr>
      </w:pPr>
      <w:r>
        <w:t xml:space="preserve">The strategy shall include effectiveness monitoring, to determine whether the implemented risk response measures remain effective. (CA-7(4)(a))</w:t>
      </w:r>
    </w:p>
    <w:p>
      <w:pPr>
        <w:pStyle w:val="Compact"/>
        <w:numPr>
          <w:ilvl w:val="0"/>
          <w:numId w:val="1014"/>
        </w:numPr>
      </w:pPr>
      <w:r>
        <w:t xml:space="preserve">The strategy shall include compliance monitoring, to verify that required risk response measures are implemented and that security and privacy requirements are satisfied. (CA-7(4)(b))</w:t>
      </w:r>
    </w:p>
    <w:p>
      <w:pPr>
        <w:pStyle w:val="Compact"/>
        <w:numPr>
          <w:ilvl w:val="0"/>
          <w:numId w:val="1014"/>
        </w:numPr>
      </w:pPr>
      <w:r>
        <w:t xml:space="preserve">The strategy shall include change monitoring, to identify changes to the system and its environment of operation that may affect security and privacy risk. (CA-7(4)(c))</w:t>
      </w:r>
    </w:p>
    <w:bookmarkEnd w:id="32"/>
    <w:bookmarkStart w:id="33" w:name="internal-system-connections-ca-9"/>
    <w:p>
      <w:pPr>
        <w:pStyle w:val="Heading3"/>
      </w:pPr>
      <w:r>
        <w:t xml:space="preserve">Internal system connections (CA-9)</w:t>
      </w:r>
    </w:p>
    <w:p>
      <w:pPr>
        <w:pStyle w:val="Compact"/>
        <w:numPr>
          <w:ilvl w:val="0"/>
          <w:numId w:val="1015"/>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15"/>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15"/>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15"/>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33"/>
    <w:bookmarkEnd w:id="34"/>
    <w:bookmarkStart w:id="36"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assessment, authorization, and monitoring policy is reviewed and updated. Typical: annually]</w:t>
      </w:r>
      <w:r>
        <w:t xml:space="preserve"> </w:t>
      </w:r>
      <w:r>
        <w:t xml:space="preserve">and following</w:t>
      </w:r>
      <w:r>
        <w:t xml:space="preserve"> </w:t>
      </w:r>
      <w:r>
        <w:rPr>
          <w:rStyle w:val="Fill-in"/>
        </w:rPr>
        <w:t xml:space="preserve">[Fill in: events that would require the current assessment, authorization, and monitoring policy to be reviewed and updated. Typical: assessment or audit findings, security incidents or breaches, and changes in applicable laws, executive orders, directives, regulations, policies, standards or guidelines]</w:t>
      </w:r>
      <w:r>
        <w:t xml:space="preserve">. (CA-1c.1)</w:t>
      </w:r>
    </w:p>
    <w:p>
      <w:pPr>
        <w:pStyle w:val="Compact"/>
        <w:numPr>
          <w:ilvl w:val="0"/>
          <w:numId w:val="1016"/>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assessment, authorization, and monitoring procedures are reviewed and updated. Typical: annually]</w:t>
      </w:r>
      <w:r>
        <w:t xml:space="preserve"> </w:t>
      </w:r>
      <w:r>
        <w:t xml:space="preserve">and following</w:t>
      </w:r>
      <w:r>
        <w:t xml:space="preserve"> </w:t>
      </w:r>
      <w:r>
        <w:rPr>
          <w:rStyle w:val="Fill-in"/>
        </w:rPr>
        <w:t xml:space="preserve">[Fill in: events that would require assessment, authorization, and monitoring procedures to be reviewed and updated. Typical: the same events as the policy, and changes to the systems, tools or services the procedures describe]</w:t>
      </w:r>
      <w:r>
        <w:t xml:space="preserve">. (CA-1c.2)</w:t>
      </w:r>
    </w:p>
    <w:bookmarkStart w:id="35" w:name="federal-systems-5"/>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19">
        <w:r>
          <w:rPr>
            <w:rStyle w:val="Hyperlink"/>
          </w:rPr>
          <w:t xml:space="preserve">44 U.S.C. § 3554</w:t>
        </w:r>
      </w:hyperlink>
      <w:r>
        <w:t xml:space="preserve">, Federal agency responsibilities) and</w:t>
      </w:r>
      <w:r>
        <w:t xml:space="preserve"> </w:t>
      </w:r>
      <w:hyperlink r:id="rId20">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(CA-1a.1(b))</w:t>
      </w:r>
    </w:p>
    <w:bookmarkEnd w:id="35"/>
    <w:bookmarkEnd w:id="36"/>
    <w:bookmarkEnd w:id="3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Assessment, Authorization, and Monitoring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7" Target="https://csrc.nist.gov/pubs/sp/800/37/r2/final" TargetMode="External" /><Relationship Type="http://schemas.openxmlformats.org/officeDocument/2006/relationships/hyperlink" Id="rId9" Target="https://kston83.github.io/nist-guide/templates/policies/ca/"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7" Target="https://csrc.nist.gov/pubs/sp/800/37/r2/final" TargetMode="External" /><Relationship Type="http://schemas.openxmlformats.org/officeDocument/2006/relationships/hyperlink" Id="rId9" Target="https://kston83.github.io/nist-guide/templates/policies/ca/"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