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3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control-assessments-ca-2"/>
    <w:p>
      <w:pPr>
        <w:pStyle w:val="Heading3"/>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9">
        <w:r>
          <w:rPr>
            <w:rStyle w:val="Hyperlink"/>
          </w:rPr>
          <w:t xml:space="preserve">assessment plan</w:t>
        </w:r>
      </w:hyperlink>
      <w:r>
        <w:t xml:space="preserve"> </w:t>
      </w:r>
      <w:r>
        <w:t xml:space="preserve">is approved before testing starts, and the</w:t>
      </w:r>
      <w:r>
        <w:t xml:space="preserve"> </w:t>
      </w:r>
      <w:hyperlink r:id="rId20">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21">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24"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2">
        <w:r>
          <w:rPr>
            <w:rStyle w:val="Hyperlink"/>
          </w:rPr>
          <w:t xml:space="preserve">44 U.S.C. § 3554(b)(5)</w:t>
        </w:r>
      </w:hyperlink>
      <w:r>
        <w:t xml:space="preserve">).</w:t>
      </w:r>
      <w:r>
        <w:t xml:space="preserve"> </w:t>
      </w:r>
      <w:hyperlink r:id="rId23">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4"/>
    <w:bookmarkEnd w:id="25"/>
    <w:bookmarkStart w:id="28" w:name="plan-of-action-and-milestones-ca-5"/>
    <w:p>
      <w:pPr>
        <w:pStyle w:val="Heading3"/>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26">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06"/>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6"/>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6"/>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27" w:name="federal-systems-1"/>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2">
        <w:r>
          <w:rPr>
            <w:rStyle w:val="Hyperlink"/>
          </w:rPr>
          <w:t xml:space="preserve">44 U.S.C. § 3554(b)(6)</w:t>
        </w:r>
      </w:hyperlink>
      <w:r>
        <w:t xml:space="preserve">).</w:t>
      </w:r>
      <w:r>
        <w:t xml:space="preserve"> </w:t>
      </w:r>
      <w:hyperlink r:id="rId23">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27"/>
    <w:bookmarkEnd w:id="28"/>
    <w:bookmarkStart w:id="31" w:name="authorization-ca-6"/>
    <w:p>
      <w:pPr>
        <w:pStyle w:val="Heading3"/>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20">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08"/>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08"/>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08"/>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08"/>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08"/>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08"/>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08"/>
        </w:numPr>
      </w:pPr>
      <w:r>
        <w:t xml:space="preserve">When the authorizing official changes, the new authorizing official shall review the current authorization and either accept the documented risk in a new signed decision or begin a reauthorization. (CA-6e)</w:t>
      </w:r>
    </w:p>
    <w:bookmarkStart w:id="30" w:name="federal-systems-2"/>
    <w:p>
      <w:pPr>
        <w:pStyle w:val="Heading4"/>
      </w:pPr>
      <w:r>
        <w:t xml:space="preserve">Federal systems</w:t>
      </w:r>
    </w:p>
    <w:p>
      <w:pPr>
        <w:pStyle w:val="FirstParagraph"/>
      </w:pPr>
      <w:hyperlink r:id="rId23">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29">
        <w:r>
          <w:rPr>
            <w:rStyle w:val="Hyperlink"/>
          </w:rPr>
          <w:t xml:space="preserve">December 2018</w:t>
        </w:r>
      </w:hyperlink>
      <w:r>
        <w:t xml:space="preserve">, current as of September 2026) describes the authorization tasks. As of September 2026.</w:t>
      </w:r>
    </w:p>
    <w:p>
      <w:pPr>
        <w:pStyle w:val="Compact"/>
        <w:numPr>
          <w:ilvl w:val="0"/>
          <w:numId w:val="1009"/>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09"/>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09"/>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30"/>
    <w:bookmarkEnd w:id="31"/>
    <w:bookmarkStart w:id="35" w:name="continuous-monitoring-ca-7"/>
    <w:p>
      <w:pPr>
        <w:pStyle w:val="Heading3"/>
      </w:pPr>
      <w:r>
        <w:t xml:space="preserve">Continuous monitoring (CA-7)</w:t>
      </w:r>
    </w:p>
    <w:p>
      <w:pPr>
        <w:pStyle w:val="Guidance"/>
      </w:pPr>
      <w:r>
        <w:t xml:space="preserve">Continuous monitoring keeps the authorization current between full assessments. The system’s</w:t>
      </w:r>
      <w:r>
        <w:t xml:space="preserve"> </w:t>
      </w:r>
      <w:hyperlink r:id="rId32">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33">
        <w:r>
          <w:rPr>
            <w:rStyle w:val="Hyperlink"/>
          </w:rPr>
          <w:t xml:space="preserve">September 2011</w:t>
        </w:r>
      </w:hyperlink>
      <w:r>
        <w:t xml:space="preserve">, current as of September 2026) describes information security continuous monitoring.</w:t>
      </w:r>
    </w:p>
    <w:p>
      <w:pPr>
        <w:pStyle w:val="Compact"/>
        <w:numPr>
          <w:ilvl w:val="0"/>
          <w:numId w:val="1010"/>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0"/>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0"/>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0"/>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0"/>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0"/>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0"/>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0"/>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0"/>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0"/>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34" w:name="federal-systems-3"/>
    <w:p>
      <w:pPr>
        <w:pStyle w:val="Heading4"/>
      </w:pPr>
      <w:r>
        <w:t xml:space="preserve">Federal systems</w:t>
      </w:r>
    </w:p>
    <w:p>
      <w:pPr>
        <w:pStyle w:val="FirstParagraph"/>
      </w:pPr>
      <w:hyperlink r:id="rId23">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4"/>
    <w:bookmarkEnd w:id="35"/>
    <w:bookmarkStart w:id="36" w:name="risk-monitoring-ca-74"/>
    <w:p>
      <w:pPr>
        <w:pStyle w:val="Heading3"/>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12"/>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2"/>
        </w:numPr>
      </w:pPr>
      <w:r>
        <w:t xml:space="preserve">The strategy shall include effectiveness monitoring, to determine whether the implemented risk response measures remain effective. (CA-7(4)(a))</w:t>
      </w:r>
    </w:p>
    <w:p>
      <w:pPr>
        <w:pStyle w:val="Compact"/>
        <w:numPr>
          <w:ilvl w:val="0"/>
          <w:numId w:val="1012"/>
        </w:numPr>
      </w:pPr>
      <w:r>
        <w:t xml:space="preserve">The strategy shall include compliance monitoring, to verify that required risk response measures are implemented and that security and privacy requirements are satisfied. (CA-7(4)(b))</w:t>
      </w:r>
    </w:p>
    <w:p>
      <w:pPr>
        <w:pStyle w:val="Compact"/>
        <w:numPr>
          <w:ilvl w:val="0"/>
          <w:numId w:val="1012"/>
        </w:numPr>
      </w:pPr>
      <w:r>
        <w:t xml:space="preserve">The strategy shall include change monitoring, to identify changes to the system and its environment of operation that may affect security and privacy risk. (CA-7(4)(c))</w:t>
      </w:r>
    </w:p>
    <w:bookmarkEnd w:id="36"/>
    <w:bookmarkEnd w:id="37"/>
    <w:bookmarkStart w:id="39" w:name="review-and-update"/>
    <w:p>
      <w:pPr>
        <w:pStyle w:val="Heading2"/>
      </w:pPr>
      <w:r>
        <w:t xml:space="preserve">Review and update</w:t>
      </w:r>
    </w:p>
    <w:p>
      <w:pPr>
        <w:pStyle w:val="Compact"/>
        <w:numPr>
          <w:ilvl w:val="0"/>
          <w:numId w:val="101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38"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2">
        <w:r>
          <w:rPr>
            <w:rStyle w:val="Hyperlink"/>
          </w:rPr>
          <w:t xml:space="preserve">44 U.S.C. § 3554</w:t>
        </w:r>
      </w:hyperlink>
      <w:r>
        <w:t xml:space="preserve">, Federal agency responsibilities) and</w:t>
      </w:r>
      <w:r>
        <w:t xml:space="preserve"> </w:t>
      </w:r>
      <w:hyperlink r:id="rId23">
        <w:r>
          <w:rPr>
            <w:rStyle w:val="Hyperlink"/>
          </w:rPr>
          <w:t xml:space="preserve">OMB Circular A-130</w:t>
        </w:r>
      </w:hyperlink>
      <w:r>
        <w:t xml:space="preserve">, Appendix I, Responsibilities for Protecting and Managing Federal Information Resources.</w:t>
      </w:r>
    </w:p>
    <w:p>
      <w:pPr>
        <w:pStyle w:val="Compact"/>
        <w:numPr>
          <w:ilvl w:val="0"/>
          <w:numId w:val="1014"/>
        </w:numPr>
      </w:pPr>
      <w:r>
        <w:t xml:space="preserve">Where the agency’s organization-wide policy sets a value for a parameter in this policy, each system shall use that value or a stricter one. (CA-1a.1(b))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3" Target="https://csrc.nist.gov/pubs/sp/800/137/final" TargetMode="External" /><Relationship Type="http://schemas.openxmlformats.org/officeDocument/2006/relationships/hyperlink" Id="rId29" Target="https://csrc.nist.gov/pubs/sp/800/37/r2/final" TargetMode="External" /><Relationship Type="http://schemas.openxmlformats.org/officeDocument/2006/relationships/hyperlink" Id="rId21" Target="https://csrc.nist.gov/pubs/sp/800/53/a/r5/final" TargetMode="External" /><Relationship Type="http://schemas.openxmlformats.org/officeDocument/2006/relationships/hyperlink" Id="rId26" Target="https://kston83.github.io/nist-guide/templates/forms/plan-of-action-and-milestones/" TargetMode="External" /><Relationship Type="http://schemas.openxmlformats.org/officeDocument/2006/relationships/hyperlink" Id="rId32"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3" Target="https://csrc.nist.gov/pubs/sp/800/137/final" TargetMode="External" /><Relationship Type="http://schemas.openxmlformats.org/officeDocument/2006/relationships/hyperlink" Id="rId29" Target="https://csrc.nist.gov/pubs/sp/800/37/r2/final" TargetMode="External" /><Relationship Type="http://schemas.openxmlformats.org/officeDocument/2006/relationships/hyperlink" Id="rId21" Target="https://csrc.nist.gov/pubs/sp/800/53/a/r5/final" TargetMode="External" /><Relationship Type="http://schemas.openxmlformats.org/officeDocument/2006/relationships/hyperlink" Id="rId26" Target="https://kston83.github.io/nist-guide/templates/forms/plan-of-action-and-milestones/" TargetMode="External" /><Relationship Type="http://schemas.openxmlformats.org/officeDocument/2006/relationships/hyperlink" Id="rId32"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