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configuration-management-policy"/>
    <w:p>
      <w:pPr>
        <w:pStyle w:val="Heading1"/>
      </w:pPr>
      <w:r>
        <w:t xml:space="preserve">Configuration Management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Low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https://kston83.github.io/nist-guide/templates/policies/cm/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CM-1,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CM-1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Configuration Management, and who is accountable for meeting those requirements. (CM-1a.1(a))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(CM-1a.1(a))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(CM-1a.1(a))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(CM-1b)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(CM-1a.1(a))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(CM-1a.1(a))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(CM-1a.1(a))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(CM-1a.1(a))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(CM-1a.1(b))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(CM-1a.1(a))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(CM-1a.1(a))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(CM-1a.1(a))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(CM-1a.2)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policy is to be disseminated. Typical: everyone within its scope, through the policy library]</w:t>
      </w:r>
      <w:r>
        <w:t xml:space="preserve">. (CM-1a)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procedures are to be disseminated. Typical: the people who carry them out, and the system owners]</w:t>
      </w:r>
      <w:r>
        <w:t xml:space="preserve">. (CM-1a)</w:t>
      </w:r>
    </w:p>
    <w:bookmarkEnd w:id="18"/>
    <w:bookmarkStart w:id="28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19" w:name="baseline-configuration-cm-2"/>
    <w:p>
      <w:pPr>
        <w:pStyle w:val="Heading3"/>
      </w:pPr>
      <w:r>
        <w:t xml:space="preserve">Baseline configuration (CM-2)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develop, document and maintain under configuration control a current baseline configuration of the system. (CM-2a)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</w:t>
      </w:r>
      <w:r>
        <w:t xml:space="preserve"> </w:t>
      </w:r>
      <w:r>
        <w:rPr>
          <w:rStyle w:val="Fill-in"/>
        </w:rPr>
        <w:t xml:space="preserve">[Fill in: the frequency of baseline configuration review and update. Typical: at least annually]</w:t>
      </w:r>
      <w:r>
        <w:t xml:space="preserve">. (CM-2b.1)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 when required by</w:t>
      </w:r>
      <w:r>
        <w:t xml:space="preserve"> </w:t>
      </w:r>
      <w:r>
        <w:rPr>
          <w:rStyle w:val="Fill-in"/>
        </w:rPr>
        <w:t xml:space="preserve">[Fill in: the circumstances requiring baseline configuration review and update. Typical: a significant change to the system, a new version of the secure configuration it is based on, or a security incident]</w:t>
      </w:r>
      <w:r>
        <w:t xml:space="preserve">. (CM-2b.2)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 when system components are installed or upgraded. (CM-2b.3)</w:t>
      </w:r>
    </w:p>
    <w:bookmarkEnd w:id="19"/>
    <w:bookmarkStart w:id="20" w:name="impact-analyses-cm-4"/>
    <w:p>
      <w:pPr>
        <w:pStyle w:val="Heading3"/>
      </w:pPr>
      <w:r>
        <w:t xml:space="preserve">Impact analyses (CM-4)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analyze changes to the system to determine potential security and privacy impacts before the changes are implemented. (CM-4)</w:t>
      </w:r>
    </w:p>
    <w:bookmarkEnd w:id="20"/>
    <w:bookmarkStart w:id="21" w:name="access-restrictions-for-change-cm-5"/>
    <w:p>
      <w:pPr>
        <w:pStyle w:val="Heading3"/>
      </w:pPr>
      <w:r>
        <w:t xml:space="preserve">Access restrictions for change (CM-5)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define, document, approve and enforce physical and logical access restrictions associated with changes to the system. (CM-5)</w:t>
      </w:r>
    </w:p>
    <w:bookmarkEnd w:id="21"/>
    <w:bookmarkStart w:id="23" w:name="configuration-settings-cm-6"/>
    <w:p>
      <w:pPr>
        <w:pStyle w:val="Heading3"/>
      </w:pPr>
      <w:r>
        <w:t xml:space="preserve">Configuration settings (CM-6)</w:t>
      </w:r>
    </w:p>
    <w:p>
      <w:pPr>
        <w:pStyle w:val="Guidance"/>
      </w:pPr>
      <w:r>
        <w:t xml:space="preserve">Pick a published secure configuration for each component type rather than writing your own: vendor security baselines and checklists from the NIST National Checklist Program (</w:t>
      </w:r>
      <w:hyperlink r:id="rId22">
        <w:r>
          <w:rPr>
            <w:rStyle w:val="Hyperlink"/>
          </w:rPr>
          <w:t xml:space="preserve">SP 800-70 Rev. 5</w:t>
        </w:r>
      </w:hyperlink>
      <w:r>
        <w:t xml:space="preserve">, May 2026) are common starting points. Record each deviation with its reason and approval; assessors compare scan results against the baseline and ask for the approval of every difference.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establish and document configuration settings for system components that reflect the most restrictive mode consistent with operational requirements, using</w:t>
      </w:r>
      <w:r>
        <w:t xml:space="preserve"> </w:t>
      </w:r>
      <w:r>
        <w:rPr>
          <w:rStyle w:val="Fill-in"/>
        </w:rPr>
        <w:t xml:space="preserve">[Fill in: common secure configurations to establish and document configuration settings for components employed within the system. Typical: the secure configuration baselines named in the baseline configuration standard]</w:t>
      </w:r>
      <w:r>
        <w:t xml:space="preserve">. (CM-6a)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the configuration settings. (CM-6b)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identify, document and approve any deviation from the established settings for</w:t>
      </w:r>
      <w:r>
        <w:t xml:space="preserve"> </w:t>
      </w:r>
      <w:r>
        <w:rPr>
          <w:rStyle w:val="Fill-in"/>
        </w:rPr>
        <w:t xml:space="preserve">[Fill in: system components for which approval of deviations is needed. Typical: all system components]</w:t>
      </w:r>
      <w:r>
        <w:t xml:space="preserve">, based on</w:t>
      </w:r>
      <w:r>
        <w:t xml:space="preserve"> </w:t>
      </w:r>
      <w:r>
        <w:rPr>
          <w:rStyle w:val="Fill-in"/>
        </w:rPr>
        <w:t xml:space="preserve">[Fill in: operational requirements necessitating approval of deviations. Typical: documented operational needs that the system owner approves and the security team reviews]</w:t>
      </w:r>
      <w:r>
        <w:t xml:space="preserve">. (CM-6c)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and control changes to the configuration settings in accordance with this policy and its procedures. (CM-6d)</w:t>
      </w:r>
    </w:p>
    <w:bookmarkEnd w:id="23"/>
    <w:bookmarkStart w:id="24" w:name="least-functionality-cm-7"/>
    <w:p>
      <w:pPr>
        <w:pStyle w:val="Heading3"/>
      </w:pPr>
      <w:r>
        <w:t xml:space="preserve">Least functionality (CM-7)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configure the system to provide only</w:t>
      </w:r>
      <w:r>
        <w:t xml:space="preserve"> </w:t>
      </w:r>
      <w:r>
        <w:rPr>
          <w:rStyle w:val="Fill-in"/>
        </w:rPr>
        <w:t xml:space="preserve">[Fill in: mission-essential capabilities for the system. Typical: the capabilities documented in the system security plan]</w:t>
      </w:r>
      <w:r>
        <w:t xml:space="preserve">. (CM-7a)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prohibit or restrict the use of</w:t>
      </w:r>
      <w:r>
        <w:t xml:space="preserve"> </w:t>
      </w:r>
      <w:r>
        <w:rPr>
          <w:rStyle w:val="Fill-in"/>
        </w:rPr>
        <w:t xml:space="preserve">[Fill in: prohibited or restricted functions, system ports, protocols, software, and/or services. Typical: the functions, ports, protocols, software and services listed as prohibited or restricted in the baseline configuration standard]</w:t>
      </w:r>
      <w:r>
        <w:t xml:space="preserve">. (CM-7b)</w:t>
      </w:r>
    </w:p>
    <w:bookmarkEnd w:id="24"/>
    <w:bookmarkStart w:id="25" w:name="system-component-inventory-cm-8"/>
    <w:p>
      <w:pPr>
        <w:pStyle w:val="Heading3"/>
      </w:pPr>
      <w:r>
        <w:t xml:space="preserve">System component inventory (CM-8)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and document an inventory of system components that accurately reflects the system and includes all its components. (CM-8a.1, a.2)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has no duplicate accounting of components and no components assigned to another system. (CM-8a.3)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is at the level of granularity needed for tracking and reporting. (CM-8a.4)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includes</w:t>
      </w:r>
      <w:r>
        <w:t xml:space="preserve"> </w:t>
      </w:r>
      <w:r>
        <w:rPr>
          <w:rStyle w:val="Fill-in"/>
        </w:rPr>
        <w:t xml:space="preserve">[Fill in: information deemed necessary to achieve effective system component accountability. Typical: name, type, manufacturer and model, serial number or asset tag, software version, location, network address, owner and administrator]</w:t>
      </w:r>
      <w:r>
        <w:t xml:space="preserve"> </w:t>
      </w:r>
      <w:r>
        <w:t xml:space="preserve">for each component. (CM-8a.5)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inventory</w:t>
      </w:r>
      <w:r>
        <w:t xml:space="preserve"> </w:t>
      </w:r>
      <w:r>
        <w:rPr>
          <w:rStyle w:val="Fill-in"/>
        </w:rPr>
        <w:t xml:space="preserve">[Fill in: frequency at which to review and update the system component inventory. Typical: at least quarterly]</w:t>
      </w:r>
      <w:r>
        <w:t xml:space="preserve">. (CM-8b)</w:t>
      </w:r>
    </w:p>
    <w:bookmarkEnd w:id="25"/>
    <w:bookmarkStart w:id="26" w:name="software-usage-restrictions-cm-10"/>
    <w:p>
      <w:pPr>
        <w:pStyle w:val="Heading3"/>
      </w:pPr>
      <w:r>
        <w:t xml:space="preserve">Software usage restrictions (CM-10)</w:t>
      </w:r>
    </w:p>
    <w:p>
      <w:pPr>
        <w:pStyle w:val="Compact"/>
        <w:numPr>
          <w:ilvl w:val="0"/>
          <w:numId w:val="1010"/>
        </w:numPr>
      </w:pPr>
      <w:r>
        <w:t xml:space="preserve">Users shall use software and its documentation in accordance with contract agreements and copyright laws. (CM-10a)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track the use of software and documentation protected by quantity licenses to control copying and distribution. (CM-10b)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control and document the use of peer-to-peer file sharing technology so that it is not used for unauthorized distribution, display, performance or reproduction of copyrighted work. (CM-10c)</w:t>
      </w:r>
    </w:p>
    <w:bookmarkEnd w:id="26"/>
    <w:bookmarkStart w:id="27" w:name="user-installed-software-cm-11"/>
    <w:p>
      <w:pPr>
        <w:pStyle w:val="Heading3"/>
      </w:pPr>
      <w:r>
        <w:t xml:space="preserve">User-installed software (CM-11)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the following rules for software installation by users:</w:t>
      </w:r>
      <w:r>
        <w:t xml:space="preserve"> </w:t>
      </w:r>
      <w:r>
        <w:rPr>
          <w:rStyle w:val="Fill-in"/>
        </w:rPr>
        <w:t xml:space="preserve">[Fill in: policies governing the installation of software by users. Typical: users may install only software from the organization’s approved software catalog; all other installation requires approval by the system owner]</w:t>
      </w:r>
      <w:r>
        <w:t xml:space="preserve">. (CM-11a)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enforce those rules through</w:t>
      </w:r>
      <w:r>
        <w:t xml:space="preserve"> </w:t>
      </w:r>
      <w:r>
        <w:rPr>
          <w:rStyle w:val="Fill-in"/>
        </w:rPr>
        <w:t xml:space="preserve">[Fill in: methods used to enforce software installation policies. Typical: removing local administrator rights and using an application allow list]</w:t>
      </w:r>
      <w:r>
        <w:t xml:space="preserve">. (CM-11b)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compliance with those rules</w:t>
      </w:r>
      <w:r>
        <w:t xml:space="preserve"> </w:t>
      </w:r>
      <w:r>
        <w:rPr>
          <w:rStyle w:val="Fill-in"/>
        </w:rPr>
        <w:t xml:space="preserve">[Fill in: frequency with which to monitor compliance. Typical: at least monthly]</w:t>
      </w:r>
      <w:r>
        <w:t xml:space="preserve">. (CM-11c)</w:t>
      </w:r>
    </w:p>
    <w:bookmarkEnd w:id="27"/>
    <w:bookmarkEnd w:id="28"/>
    <w:bookmarkStart w:id="32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configuration management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(CM-1c.1)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configuration management procedures to be reviewed and updated. Typical: the same events as the policy, and changes to the systems, tools or services the procedures describe]</w:t>
      </w:r>
      <w:r>
        <w:t xml:space="preserve">. (CM-1c.2)</w:t>
      </w:r>
    </w:p>
    <w:bookmarkStart w:id="31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9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0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3"/>
        </w:numPr>
      </w:pPr>
      <w:r>
        <w:t xml:space="preserve">Where the agency’s organization-wide policy sets a value for a parameter in this policy, each system shall use that value or a stricter one. (CM-1a.1(b))</w:t>
      </w:r>
    </w:p>
    <w:bookmarkEnd w:id="31"/>
    <w:bookmarkEnd w:id="32"/>
    <w:bookmarkEnd w:id="3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Configuration Management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2" Target="https://csrc.nist.gov/pubs/sp/800/70/r5/final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29" Target="https://uscode.house.gov/view.xhtml?req=granuleid:USC-prelim-title44-section3554&amp;num=0&amp;edition=prelim" TargetMode="External" /><Relationship Type="http://schemas.openxmlformats.org/officeDocument/2006/relationships/hyperlink" Id="rId30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2" Target="https://csrc.nist.gov/pubs/sp/800/70/r5/final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29" Target="https://uscode.house.gov/view.xhtml?req=granuleid:USC-prelim-title44-section3554&amp;num=0&amp;edition=prelim" TargetMode="External" /><Relationship Type="http://schemas.openxmlformats.org/officeDocument/2006/relationships/hyperlink" Id="rId30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