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configuration-management-policy"/>
    <w:p>
      <w:pPr>
        <w:pStyle w:val="Heading1"/>
      </w:pPr>
      <w:r>
        <w:t xml:space="preserve">Configuration Management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https://kston83.github.io/nist-guide/templates/policies/cm/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CM-1,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CM-1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Configuration Management, and who is accountable for meeting those requirements. (CM-1a.1(a))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(CM-1a.1(a))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(CM-1a.1(a))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(CM-1b)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(CM-1a.1(a))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(CM-1a.1(a))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(CM-1a.1(a))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(CM-1a.1(a))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(CM-1a.1(b))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(CM-1a.1(a))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(CM-1a.1(a))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(CM-1a.1(a))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(CM-1a.2)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policy is to be disseminated. Typical: everyone within its scope, through the policy library]</w:t>
      </w:r>
      <w:r>
        <w:t xml:space="preserve">. (CM-1a)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configuration management procedures are to be disseminated. Typical: the people who carry them out, and the system owners]</w:t>
      </w:r>
      <w:r>
        <w:t xml:space="preserve">. (CM-1a)</w:t>
      </w:r>
    </w:p>
    <w:bookmarkEnd w:id="18"/>
    <w:bookmarkStart w:id="20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impact-analyses-cm-4"/>
    <w:p>
      <w:pPr>
        <w:pStyle w:val="Heading3"/>
      </w:pPr>
      <w:r>
        <w:t xml:space="preserve">Impact analyses (CM-4)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analyze changes to the system to determine potential security and privacy impacts before the changes are implemented. (CM-4)</w:t>
      </w:r>
    </w:p>
    <w:bookmarkEnd w:id="19"/>
    <w:bookmarkEnd w:id="20"/>
    <w:bookmarkStart w:id="2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configuration management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(CM-1c.1)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configuration management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configuration management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configuration management procedures to be reviewed and updated. Typical: the same events as the policy, and changes to the systems, tools or services the procedures describe]</w:t>
      </w:r>
      <w:r>
        <w:t xml:space="preserve">. (CM-1c.2)</w:t>
      </w:r>
    </w:p>
    <w:bookmarkStart w:id="2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06"/>
        </w:numPr>
      </w:pPr>
      <w:r>
        <w:t xml:space="preserve">Where the agency’s organization-wide policy sets a value for a parameter in this policy, each system shall use that value or a stricter one. (CM-1a.1(b))</w:t>
      </w:r>
    </w:p>
    <w:bookmarkEnd w:id="23"/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Configuration Management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m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