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09" w:name="information-security-and-privacy-policy"/>
    <w:p>
      <w:pPr>
        <w:pStyle w:val="Heading1"/>
      </w:pPr>
      <w:r>
        <w:t xml:space="preserve">Information Security and Privacy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https://kston83.github.io/nist-guide/templates/policies/consolidated/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This policy brings every family policy into one document, as an alternative to adopting a policy per family. It is assembled from the same sources. The sections every family policy shares are written once, and each family’s statements are in its own part under Policy statements. Each family’s -1 control asks for a policy that addresses purpose, scope, roles, responsibilities, management commitment, coordination and compliance, plus procedures, dissemination, a designated official and a review cycle; the shared sections meet those elements for every family listed under Control families. Assessors check each element for each family, so keep every shared section even when it is short. For any one scope, adopt either this policy or the family policies, not both, so each requirement has one source.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Information Security and Privacy, and who is accountable for meeting those requirements. (XX-1a.1(a))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(XX-1a.1(a))</w:t>
      </w:r>
    </w:p>
    <w:bookmarkEnd w:id="12"/>
    <w:bookmarkStart w:id="13" w:name="control-families"/>
    <w:p>
      <w:pPr>
        <w:pStyle w:val="Heading2"/>
      </w:pPr>
      <w:r>
        <w:t xml:space="preserve">Control families</w:t>
      </w:r>
    </w:p>
    <w:p>
      <w:pPr>
        <w:pStyle w:val="FirstParagraph"/>
      </w:pPr>
      <w:r>
        <w:t xml:space="preserve">This policy is the policy of each control family below, in place of separate family policies. Its shared sections meet the first control of each family, the -1 control, which asks for a policy and procedures; a reference such as (XX-1a.1(a)) cites that item of the -1 control of every family below. PM-1 asks for different elements, so the Program Management part opens with its own statements for it. Each family’s statements are in its own part under Policy statements.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Family</w:t>
            </w:r>
          </w:p>
        </w:tc>
        <w:tc>
          <w:tcPr/>
          <w:p>
            <w:pPr>
              <w:pStyle w:val="Compact"/>
            </w:pPr>
            <w:r>
              <w:t xml:space="preserve">Policy control</w:t>
            </w:r>
          </w:p>
        </w:tc>
        <w:tc>
          <w:tcPr/>
          <w:p>
            <w:pPr>
              <w:pStyle w:val="Compact"/>
            </w:pPr>
            <w:r>
              <w:t xml:space="preserve">Accountable role</w:t>
            </w:r>
          </w:p>
        </w:tc>
      </w:tr>
      <w:tr>
        <w:tc>
          <w:tcPr/>
          <w:p>
            <w:pPr>
              <w:pStyle w:val="Compact"/>
            </w:pPr>
            <w:r>
              <w:t xml:space="preserve">Access Control (AC)</w:t>
            </w:r>
          </w:p>
        </w:tc>
        <w:tc>
          <w:tcPr/>
          <w:p>
            <w:pPr>
              <w:pStyle w:val="Compact"/>
            </w:pPr>
            <w:r>
              <w:t xml:space="preserve">AC-1</w:t>
            </w:r>
          </w:p>
        </w:tc>
        <w:tc>
          <w:tcPr/>
          <w:p>
            <w:pPr>
              <w:pStyle w:val="Compact"/>
            </w:pPr>
            <w:r>
              <w:rPr>
                <w:rStyle w:val="Fill-in"/>
              </w:rPr>
              <w:t xml:space="preserve">[Chief Information Security Officer]</w:t>
            </w:r>
          </w:p>
        </w:tc>
      </w:tr>
      <w:tr>
        <w:tc>
          <w:tcPr/>
          <w:p>
            <w:pPr>
              <w:pStyle w:val="Compact"/>
            </w:pPr>
            <w:r>
              <w:t xml:space="preserve">Awareness and Training (AT)</w:t>
            </w:r>
          </w:p>
        </w:tc>
        <w:tc>
          <w:tcPr/>
          <w:p>
            <w:pPr>
              <w:pStyle w:val="Compact"/>
            </w:pPr>
            <w:r>
              <w:t xml:space="preserve">AT-1</w:t>
            </w:r>
          </w:p>
        </w:tc>
        <w:tc>
          <w:tcPr/>
          <w:p>
            <w:pPr>
              <w:pStyle w:val="Compact"/>
            </w:pPr>
            <w:r>
              <w:rPr>
                <w:rStyle w:val="Fill-in"/>
              </w:rPr>
              <w:t xml:space="preserve">[Chief Information Security Officer]</w:t>
            </w:r>
          </w:p>
        </w:tc>
      </w:tr>
      <w:tr>
        <w:tc>
          <w:tcPr/>
          <w:p>
            <w:pPr>
              <w:pStyle w:val="Compact"/>
            </w:pPr>
            <w:r>
              <w:t xml:space="preserve">Audit and Accountability (AU)</w:t>
            </w:r>
          </w:p>
        </w:tc>
        <w:tc>
          <w:tcPr/>
          <w:p>
            <w:pPr>
              <w:pStyle w:val="Compact"/>
            </w:pPr>
            <w:r>
              <w:t xml:space="preserve">AU-1</w:t>
            </w:r>
          </w:p>
        </w:tc>
        <w:tc>
          <w:tcPr/>
          <w:p>
            <w:pPr>
              <w:pStyle w:val="Compact"/>
            </w:pPr>
            <w:r>
              <w:rPr>
                <w:rStyle w:val="Fill-in"/>
              </w:rPr>
              <w:t xml:space="preserve">[Chief Information Security Officer]</w:t>
            </w:r>
          </w:p>
        </w:tc>
      </w:tr>
      <w:tr>
        <w:tc>
          <w:tcPr/>
          <w:p>
            <w:pPr>
              <w:pStyle w:val="Compact"/>
            </w:pPr>
            <w:r>
              <w:t xml:space="preserve">Assessment, Authorization, and Monitoring (CA)</w:t>
            </w:r>
          </w:p>
        </w:tc>
        <w:tc>
          <w:tcPr/>
          <w:p>
            <w:pPr>
              <w:pStyle w:val="Compact"/>
            </w:pPr>
            <w:r>
              <w:t xml:space="preserve">CA-1</w:t>
            </w:r>
          </w:p>
        </w:tc>
        <w:tc>
          <w:tcPr/>
          <w:p>
            <w:pPr>
              <w:pStyle w:val="Compact"/>
            </w:pPr>
            <w:r>
              <w:rPr>
                <w:rStyle w:val="Fill-in"/>
              </w:rPr>
              <w:t xml:space="preserve">[Chief Information Security Officer]</w:t>
            </w:r>
          </w:p>
        </w:tc>
      </w:tr>
      <w:tr>
        <w:tc>
          <w:tcPr/>
          <w:p>
            <w:pPr>
              <w:pStyle w:val="Compact"/>
            </w:pPr>
            <w:r>
              <w:t xml:space="preserve">Configuration Management (CM)</w:t>
            </w:r>
          </w:p>
        </w:tc>
        <w:tc>
          <w:tcPr/>
          <w:p>
            <w:pPr>
              <w:pStyle w:val="Compact"/>
            </w:pPr>
            <w:r>
              <w:t xml:space="preserve">CM-1</w:t>
            </w:r>
          </w:p>
        </w:tc>
        <w:tc>
          <w:tcPr/>
          <w:p>
            <w:pPr>
              <w:pStyle w:val="Compact"/>
            </w:pPr>
            <w:r>
              <w:rPr>
                <w:rStyle w:val="Fill-in"/>
              </w:rPr>
              <w:t xml:space="preserve">[Chief Information Security Officer]</w:t>
            </w:r>
          </w:p>
        </w:tc>
      </w:tr>
      <w:tr>
        <w:tc>
          <w:tcPr/>
          <w:p>
            <w:pPr>
              <w:pStyle w:val="Compact"/>
            </w:pPr>
            <w:r>
              <w:t xml:space="preserve">Contingency Planning (CP)</w:t>
            </w:r>
          </w:p>
        </w:tc>
        <w:tc>
          <w:tcPr/>
          <w:p>
            <w:pPr>
              <w:pStyle w:val="Compact"/>
            </w:pPr>
            <w:r>
              <w:t xml:space="preserve">CP-1</w:t>
            </w:r>
          </w:p>
        </w:tc>
        <w:tc>
          <w:tcPr/>
          <w:p>
            <w:pPr>
              <w:pStyle w:val="Compact"/>
            </w:pPr>
            <w:r>
              <w:rPr>
                <w:rStyle w:val="Fill-in"/>
              </w:rPr>
              <w:t xml:space="preserve">[Chief Information Security Officer]</w:t>
            </w:r>
          </w:p>
        </w:tc>
      </w:tr>
      <w:tr>
        <w:tc>
          <w:tcPr/>
          <w:p>
            <w:pPr>
              <w:pStyle w:val="Compact"/>
            </w:pPr>
            <w:r>
              <w:t xml:space="preserve">Identification and Authentication (IA)</w:t>
            </w:r>
          </w:p>
        </w:tc>
        <w:tc>
          <w:tcPr/>
          <w:p>
            <w:pPr>
              <w:pStyle w:val="Compact"/>
            </w:pPr>
            <w:r>
              <w:t xml:space="preserve">IA-1</w:t>
            </w:r>
          </w:p>
        </w:tc>
        <w:tc>
          <w:tcPr/>
          <w:p>
            <w:pPr>
              <w:pStyle w:val="Compact"/>
            </w:pPr>
            <w:r>
              <w:rPr>
                <w:rStyle w:val="Fill-in"/>
              </w:rPr>
              <w:t xml:space="preserve">[Chief Information Security Officer]</w:t>
            </w:r>
          </w:p>
        </w:tc>
      </w:tr>
      <w:tr>
        <w:tc>
          <w:tcPr/>
          <w:p>
            <w:pPr>
              <w:pStyle w:val="Compact"/>
            </w:pPr>
            <w:r>
              <w:t xml:space="preserve">Incident Response (IR)</w:t>
            </w:r>
          </w:p>
        </w:tc>
        <w:tc>
          <w:tcPr/>
          <w:p>
            <w:pPr>
              <w:pStyle w:val="Compact"/>
            </w:pPr>
            <w:r>
              <w:t xml:space="preserve">IR-1</w:t>
            </w:r>
          </w:p>
        </w:tc>
        <w:tc>
          <w:tcPr/>
          <w:p>
            <w:pPr>
              <w:pStyle w:val="Compact"/>
            </w:pPr>
            <w:r>
              <w:rPr>
                <w:rStyle w:val="Fill-in"/>
              </w:rPr>
              <w:t xml:space="preserve">[Chief Information Security Officer]</w:t>
            </w:r>
          </w:p>
        </w:tc>
      </w:tr>
      <w:tr>
        <w:tc>
          <w:tcPr/>
          <w:p>
            <w:pPr>
              <w:pStyle w:val="Compact"/>
            </w:pPr>
            <w:r>
              <w:t xml:space="preserve">Maintenance (MA)</w:t>
            </w:r>
          </w:p>
        </w:tc>
        <w:tc>
          <w:tcPr/>
          <w:p>
            <w:pPr>
              <w:pStyle w:val="Compact"/>
            </w:pPr>
            <w:r>
              <w:t xml:space="preserve">MA-1</w:t>
            </w:r>
          </w:p>
        </w:tc>
        <w:tc>
          <w:tcPr/>
          <w:p>
            <w:pPr>
              <w:pStyle w:val="Compact"/>
            </w:pPr>
            <w:r>
              <w:rPr>
                <w:rStyle w:val="Fill-in"/>
              </w:rPr>
              <w:t xml:space="preserve">[Chief Information Security Officer]</w:t>
            </w:r>
          </w:p>
        </w:tc>
      </w:tr>
      <w:tr>
        <w:tc>
          <w:tcPr/>
          <w:p>
            <w:pPr>
              <w:pStyle w:val="Compact"/>
            </w:pPr>
            <w:r>
              <w:t xml:space="preserve">Media Protection (MP)</w:t>
            </w:r>
          </w:p>
        </w:tc>
        <w:tc>
          <w:tcPr/>
          <w:p>
            <w:pPr>
              <w:pStyle w:val="Compact"/>
            </w:pPr>
            <w:r>
              <w:t xml:space="preserve">MP-1</w:t>
            </w:r>
          </w:p>
        </w:tc>
        <w:tc>
          <w:tcPr/>
          <w:p>
            <w:pPr>
              <w:pStyle w:val="Compact"/>
            </w:pPr>
            <w:r>
              <w:rPr>
                <w:rStyle w:val="Fill-in"/>
              </w:rPr>
              <w:t xml:space="preserve">[Chief Information Security Officer]</w:t>
            </w:r>
          </w:p>
        </w:tc>
      </w:tr>
      <w:tr>
        <w:tc>
          <w:tcPr/>
          <w:p>
            <w:pPr>
              <w:pStyle w:val="Compact"/>
            </w:pPr>
            <w:r>
              <w:t xml:space="preserve">Physical and Environmental Protection (PE)</w:t>
            </w:r>
          </w:p>
        </w:tc>
        <w:tc>
          <w:tcPr/>
          <w:p>
            <w:pPr>
              <w:pStyle w:val="Compact"/>
            </w:pPr>
            <w:r>
              <w:t xml:space="preserve">PE-1</w:t>
            </w:r>
          </w:p>
        </w:tc>
        <w:tc>
          <w:tcPr/>
          <w:p>
            <w:pPr>
              <w:pStyle w:val="Compact"/>
            </w:pPr>
            <w:r>
              <w:rPr>
                <w:rStyle w:val="Fill-in"/>
              </w:rPr>
              <w:t xml:space="preserve">[Facilities manager]</w:t>
            </w:r>
          </w:p>
        </w:tc>
      </w:tr>
      <w:tr>
        <w:tc>
          <w:tcPr/>
          <w:p>
            <w:pPr>
              <w:pStyle w:val="Compact"/>
            </w:pPr>
            <w:r>
              <w:t xml:space="preserve">Planning (PL)</w:t>
            </w:r>
          </w:p>
        </w:tc>
        <w:tc>
          <w:tcPr/>
          <w:p>
            <w:pPr>
              <w:pStyle w:val="Compact"/>
            </w:pPr>
            <w:r>
              <w:t xml:space="preserve">PL-1</w:t>
            </w:r>
          </w:p>
        </w:tc>
        <w:tc>
          <w:tcPr/>
          <w:p>
            <w:pPr>
              <w:pStyle w:val="Compact"/>
            </w:pPr>
            <w:r>
              <w:rPr>
                <w:rStyle w:val="Fill-in"/>
              </w:rPr>
              <w:t xml:space="preserve">[Chief Information Security Officer]</w:t>
            </w:r>
          </w:p>
        </w:tc>
      </w:tr>
      <w:tr>
        <w:tc>
          <w:tcPr/>
          <w:p>
            <w:pPr>
              <w:pStyle w:val="Compact"/>
            </w:pPr>
            <w:r>
              <w:t xml:space="preserve">Program Management (PM)</w:t>
            </w:r>
          </w:p>
        </w:tc>
        <w:tc>
          <w:tcPr/>
          <w:p>
            <w:pPr>
              <w:pStyle w:val="Compact"/>
            </w:pPr>
            <w:r>
              <w:t xml:space="preserve">PM-1</w:t>
            </w:r>
          </w:p>
        </w:tc>
        <w:tc>
          <w:tcPr/>
          <w:p>
            <w:pPr>
              <w:pStyle w:val="Compact"/>
            </w:pPr>
            <w:r>
              <w:rPr>
                <w:rStyle w:val="Fill-in"/>
              </w:rPr>
              <w:t xml:space="preserve">[Chief Information Security Officer]</w:t>
            </w:r>
          </w:p>
        </w:tc>
      </w:tr>
      <w:tr>
        <w:tc>
          <w:tcPr/>
          <w:p>
            <w:pPr>
              <w:pStyle w:val="Compact"/>
            </w:pPr>
            <w:r>
              <w:t xml:space="preserve">Personnel Security (PS)</w:t>
            </w:r>
          </w:p>
        </w:tc>
        <w:tc>
          <w:tcPr/>
          <w:p>
            <w:pPr>
              <w:pStyle w:val="Compact"/>
            </w:pPr>
            <w:r>
              <w:t xml:space="preserve">PS-1</w:t>
            </w:r>
          </w:p>
        </w:tc>
        <w:tc>
          <w:tcPr/>
          <w:p>
            <w:pPr>
              <w:pStyle w:val="Compact"/>
            </w:pPr>
            <w:r>
              <w:rPr>
                <w:rStyle w:val="Fill-in"/>
              </w:rPr>
              <w:t xml:space="preserve">[Chief Information Security Officer]</w:t>
            </w:r>
          </w:p>
        </w:tc>
      </w:tr>
      <w:tr>
        <w:tc>
          <w:tcPr/>
          <w:p>
            <w:pPr>
              <w:pStyle w:val="Compact"/>
            </w:pPr>
            <w:r>
              <w:t xml:space="preserve">Risk Assessment (RA)</w:t>
            </w:r>
          </w:p>
        </w:tc>
        <w:tc>
          <w:tcPr/>
          <w:p>
            <w:pPr>
              <w:pStyle w:val="Compact"/>
            </w:pPr>
            <w:r>
              <w:t xml:space="preserve">RA-1</w:t>
            </w:r>
          </w:p>
        </w:tc>
        <w:tc>
          <w:tcPr/>
          <w:p>
            <w:pPr>
              <w:pStyle w:val="Compact"/>
            </w:pPr>
            <w:r>
              <w:rPr>
                <w:rStyle w:val="Fill-in"/>
              </w:rPr>
              <w:t xml:space="preserve">[Chief Information Security Officer]</w:t>
            </w:r>
          </w:p>
        </w:tc>
      </w:tr>
      <w:tr>
        <w:tc>
          <w:tcPr/>
          <w:p>
            <w:pPr>
              <w:pStyle w:val="Compact"/>
            </w:pPr>
            <w:r>
              <w:t xml:space="preserve">System and Services Acquisition (SA)</w:t>
            </w:r>
          </w:p>
        </w:tc>
        <w:tc>
          <w:tcPr/>
          <w:p>
            <w:pPr>
              <w:pStyle w:val="Compact"/>
            </w:pPr>
            <w:r>
              <w:t xml:space="preserve">SA-1</w:t>
            </w:r>
          </w:p>
        </w:tc>
        <w:tc>
          <w:tcPr/>
          <w:p>
            <w:pPr>
              <w:pStyle w:val="Compact"/>
            </w:pPr>
            <w:r>
              <w:rPr>
                <w:rStyle w:val="Fill-in"/>
              </w:rPr>
              <w:t xml:space="preserve">[Chief Information Security Officer]</w:t>
            </w:r>
          </w:p>
        </w:tc>
      </w:tr>
      <w:tr>
        <w:tc>
          <w:tcPr/>
          <w:p>
            <w:pPr>
              <w:pStyle w:val="Compact"/>
            </w:pPr>
            <w:r>
              <w:t xml:space="preserve">System and Communications Protection (SC)</w:t>
            </w:r>
          </w:p>
        </w:tc>
        <w:tc>
          <w:tcPr/>
          <w:p>
            <w:pPr>
              <w:pStyle w:val="Compact"/>
            </w:pPr>
            <w:r>
              <w:t xml:space="preserve">SC-1</w:t>
            </w:r>
          </w:p>
        </w:tc>
        <w:tc>
          <w:tcPr/>
          <w:p>
            <w:pPr>
              <w:pStyle w:val="Compact"/>
            </w:pPr>
            <w:r>
              <w:rPr>
                <w:rStyle w:val="Fill-in"/>
              </w:rPr>
              <w:t xml:space="preserve">[Chief Information Security Officer]</w:t>
            </w:r>
          </w:p>
        </w:tc>
      </w:tr>
      <w:tr>
        <w:tc>
          <w:tcPr/>
          <w:p>
            <w:pPr>
              <w:pStyle w:val="Compact"/>
            </w:pPr>
            <w:r>
              <w:t xml:space="preserve">System and Information Integrity (SI)</w:t>
            </w:r>
          </w:p>
        </w:tc>
        <w:tc>
          <w:tcPr/>
          <w:p>
            <w:pPr>
              <w:pStyle w:val="Compact"/>
            </w:pPr>
            <w:r>
              <w:t xml:space="preserve">SI-1</w:t>
            </w:r>
          </w:p>
        </w:tc>
        <w:tc>
          <w:tcPr/>
          <w:p>
            <w:pPr>
              <w:pStyle w:val="Compact"/>
            </w:pPr>
            <w:r>
              <w:rPr>
                <w:rStyle w:val="Fill-in"/>
              </w:rPr>
              <w:t xml:space="preserve">[Chief Information Security Officer]</w:t>
            </w:r>
          </w:p>
        </w:tc>
      </w:tr>
      <w:tr>
        <w:tc>
          <w:tcPr/>
          <w:p>
            <w:pPr>
              <w:pStyle w:val="Compact"/>
            </w:pPr>
            <w:r>
              <w:t xml:space="preserve">Supply Chain Risk Management (SR)</w:t>
            </w:r>
          </w:p>
        </w:tc>
        <w:tc>
          <w:tcPr/>
          <w:p>
            <w:pPr>
              <w:pStyle w:val="Compact"/>
            </w:pPr>
            <w:r>
              <w:t xml:space="preserve">SR-1</w:t>
            </w:r>
          </w:p>
        </w:tc>
        <w:tc>
          <w:tcPr/>
          <w:p>
            <w:pPr>
              <w:pStyle w:val="Compact"/>
            </w:pPr>
            <w:r>
              <w:rPr>
                <w:rStyle w:val="Fill-in"/>
              </w:rPr>
              <w:t xml:space="preserve">[Chief Information Security Officer]</w:t>
            </w:r>
          </w:p>
        </w:tc>
      </w:tr>
    </w:tbl>
    <w:p>
      <w:pPr>
        <w:pStyle w:val="Compact"/>
        <w:numPr>
          <w:ilvl w:val="0"/>
          <w:numId w:val="1001"/>
        </w:numPr>
      </w:pPr>
      <w:r>
        <w:t xml:space="preserve">Where the table names a role other than the</w:t>
      </w:r>
      <w:r>
        <w:t xml:space="preserve"> </w:t>
      </w:r>
      <w:r>
        <w:rPr>
          <w:rStyle w:val="Fill-in"/>
        </w:rPr>
        <w:t xml:space="preserve">[Chief Information Security Officer]</w:t>
      </w:r>
      <w:r>
        <w:t xml:space="preserve"> </w:t>
      </w:r>
      <w:r>
        <w:t xml:space="preserve">for a family, that role shall be accountable for the family’s part of this policy and shall approve exceptions to it, in coordination with the</w:t>
      </w:r>
      <w:r>
        <w:t xml:space="preserve"> </w:t>
      </w:r>
      <w:r>
        <w:rPr>
          <w:rStyle w:val="Fill-in"/>
        </w:rPr>
        <w:t xml:space="preserve">[Chief Information Security Officer]</w:t>
      </w:r>
      <w:r>
        <w:t xml:space="preserve">. (XX-1a.1(a))</w:t>
      </w:r>
    </w:p>
    <w:bookmarkEnd w:id="13"/>
    <w:bookmarkStart w:id="14" w:name="roles-and-responsibilities"/>
    <w:p>
      <w:pPr>
        <w:pStyle w:val="Heading2"/>
      </w:pPr>
      <w:r>
        <w:t xml:space="preserve">Roles and responsibilities</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(XX-1a.1(a))</w:t>
      </w:r>
    </w:p>
    <w:p>
      <w:pPr>
        <w:pStyle w:val="Compact"/>
        <w:numPr>
          <w:ilvl w:val="0"/>
          <w:numId w:val="1002"/>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manage the development, documentation and dissemination of this policy and its procedures. (XX-1b)</w:t>
      </w:r>
    </w:p>
    <w:p>
      <w:pPr>
        <w:pStyle w:val="Compact"/>
        <w:numPr>
          <w:ilvl w:val="0"/>
          <w:numId w:val="1002"/>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(XX-1a.1(a))</w:t>
      </w:r>
    </w:p>
    <w:p>
      <w:pPr>
        <w:pStyle w:val="Compact"/>
        <w:numPr>
          <w:ilvl w:val="0"/>
          <w:numId w:val="1002"/>
        </w:numPr>
      </w:pPr>
      <w:r>
        <w:t xml:space="preserve">Each person within scope shall follow this policy and report suspected violations to the</w:t>
      </w:r>
      <w:r>
        <w:t xml:space="preserve"> </w:t>
      </w:r>
      <w:r>
        <w:rPr>
          <w:rStyle w:val="Fill-in"/>
        </w:rPr>
        <w:t xml:space="preserve">[Chief Information Security Officer]</w:t>
      </w:r>
      <w:r>
        <w:t xml:space="preserve">. (XX-1a.1(a))</w:t>
      </w:r>
    </w:p>
    <w:bookmarkEnd w:id="14"/>
    <w:bookmarkStart w:id="15"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(XX-1a.1(a))</w:t>
      </w:r>
    </w:p>
    <w:bookmarkEnd w:id="15"/>
    <w:bookmarkStart w:id="16"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(XX-1a.1(a))</w:t>
      </w:r>
    </w:p>
    <w:bookmarkEnd w:id="16"/>
    <w:bookmarkStart w:id="17" w:name="compliance"/>
    <w:p>
      <w:pPr>
        <w:pStyle w:val="Heading2"/>
      </w:pPr>
      <w:r>
        <w:t xml:space="preserve">Compliance</w:t>
      </w:r>
    </w:p>
    <w:p>
      <w:pPr>
        <w:pStyle w:val="Compact"/>
        <w:numPr>
          <w:ilvl w:val="0"/>
          <w:numId w:val="1003"/>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(XX-1a.1(b))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(XX-1a.1(a))</w:t>
      </w:r>
    </w:p>
    <w:p>
      <w:pPr>
        <w:pStyle w:val="Compact"/>
        <w:numPr>
          <w:ilvl w:val="0"/>
          <w:numId w:val="1003"/>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(XX-1a.1(a))</w:t>
      </w:r>
    </w:p>
    <w:p>
      <w:pPr>
        <w:pStyle w:val="Compact"/>
        <w:numPr>
          <w:ilvl w:val="0"/>
          <w:numId w:val="1003"/>
        </w:numPr>
      </w:pPr>
      <w:r>
        <w:t xml:space="preserve">Violations of this policy shall be handled through the organization’s sanctions process. (XX-1a.1(a))</w:t>
      </w:r>
    </w:p>
    <w:bookmarkEnd w:id="17"/>
    <w:bookmarkStart w:id="18" w:name="procedures"/>
    <w:p>
      <w:pPr>
        <w:pStyle w:val="Heading2"/>
      </w:pPr>
      <w:r>
        <w:t xml:space="preserve">Procedures</w:t>
      </w:r>
    </w:p>
    <w:p>
      <w:pPr>
        <w:pStyle w:val="FirstParagraph"/>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ensure that documented procedures exist to implement this policy and its associated controls. (XX-1a.2)</w:t>
      </w:r>
    </w:p>
    <w:bookmarkEnd w:id="18"/>
    <w:bookmarkStart w:id="19" w:name="dissemination"/>
    <w:p>
      <w:pPr>
        <w:pStyle w:val="Heading2"/>
      </w:pPr>
      <w:r>
        <w:t xml:space="preserve">Dissemination</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information security and privacy policy is to be disseminated. Typical: everyone within its scope, through the policy library]</w:t>
      </w:r>
      <w:r>
        <w:t xml:space="preserve">. (XX-1a)</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information security and privacy procedures are to be disseminated. Typical: the people who carry them out, and the system owners]</w:t>
      </w:r>
      <w:r>
        <w:t xml:space="preserve">. (XX-1a)</w:t>
      </w:r>
    </w:p>
    <w:bookmarkEnd w:id="19"/>
    <w:bookmarkStart w:id="606"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73" w:name="access-control-ac"/>
    <w:p>
      <w:pPr>
        <w:pStyle w:val="Heading3"/>
      </w:pPr>
      <w:r>
        <w:t xml:space="preserve">Access Control (AC)</w:t>
      </w:r>
    </w:p>
    <w:bookmarkStart w:id="24" w:name="account-management-ac-2"/>
    <w:p>
      <w:pPr>
        <w:pStyle w:val="Heading4"/>
      </w:pPr>
      <w:r>
        <w:t xml:space="preserve">Account management (AC-2)</w:t>
      </w:r>
    </w:p>
    <w:p>
      <w:pPr>
        <w:pStyle w:val="Guidance"/>
      </w:pPr>
      <w:r>
        <w:t xml:space="preserve">AC-2 makes account management a controlled life cycle: every account has a known type, an owner, an approval and a removal trigger. Each statement below maps to one lettered item of the control. Assessors test these by sampling account requests, recent departures and the last access review, so keep the records each statement implies.</w:t>
      </w:r>
    </w:p>
    <w:p>
      <w:pPr>
        <w:pStyle w:val="Compact"/>
        <w:numPr>
          <w:ilvl w:val="0"/>
          <w:numId w:val="1005"/>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5"/>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5"/>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5"/>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5"/>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5"/>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5"/>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5"/>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5"/>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p>
      <w:pPr>
        <w:pStyle w:val="Guidance"/>
      </w:pPr>
      <w:r>
        <w:t xml:space="preserve">Where the organization does not use shared or group accounts, keep the AC-2k statement and note in the system security plan that none are deployed; the assessor will still ask. Evidence for AC-2l is usually an automated feed from the human resources system to the identity provider, or a documented handoff in the</w:t>
      </w:r>
      <w:r>
        <w:t xml:space="preserve"> </w:t>
      </w:r>
      <w:hyperlink r:id="rId20">
        <w:r>
          <w:rPr>
            <w:rStyle w:val="Hyperlink"/>
          </w:rPr>
          <w:t xml:space="preserve">onboarding, transfer and termination checklist</w:t>
        </w:r>
      </w:hyperlink>
      <w:r>
        <w:t xml:space="preserve"> </w:t>
      </w:r>
      <w:r>
        <w:t xml:space="preserve">(PS-4). The</w:t>
      </w:r>
      <w:r>
        <w:t xml:space="preserve"> </w:t>
      </w:r>
      <w:hyperlink r:id="rId21">
        <w:r>
          <w:rPr>
            <w:rStyle w:val="Hyperlink"/>
          </w:rPr>
          <w:t xml:space="preserve">account management procedure</w:t>
        </w:r>
      </w:hyperlink>
      <w:r>
        <w:t xml:space="preserve"> </w:t>
      </w:r>
      <w:r>
        <w:t xml:space="preserve">carries out these statements step by step; the</w:t>
      </w:r>
      <w:r>
        <w:t xml:space="preserve"> </w:t>
      </w:r>
      <w:hyperlink r:id="rId22">
        <w:r>
          <w:rPr>
            <w:rStyle w:val="Hyperlink"/>
          </w:rPr>
          <w:t xml:space="preserve">access request form</w:t>
        </w:r>
      </w:hyperlink>
      <w:r>
        <w:t xml:space="preserve"> </w:t>
      </w:r>
      <w:r>
        <w:t xml:space="preserve">and the</w:t>
      </w:r>
      <w:r>
        <w:t xml:space="preserve"> </w:t>
      </w:r>
      <w:hyperlink r:id="rId23">
        <w:r>
          <w:rPr>
            <w:rStyle w:val="Hyperlink"/>
          </w:rPr>
          <w:t xml:space="preserve">access review record</w:t>
        </w:r>
      </w:hyperlink>
      <w:r>
        <w:t xml:space="preserve"> </w:t>
      </w:r>
      <w:r>
        <w:t xml:space="preserve">are the records assessors sample for AC-2e and AC-2j.</w:t>
      </w:r>
    </w:p>
    <w:bookmarkEnd w:id="24"/>
    <w:bookmarkStart w:id="25" w:name="Xc528b2bec558cbec1ef9e5bb0e18bd9cb488093"/>
    <w:p>
      <w:pPr>
        <w:pStyle w:val="Heading4"/>
      </w:pPr>
      <w:r>
        <w:t xml:space="preserve">Automated system account management (AC-2(1))</w:t>
      </w:r>
    </w:p>
    <w:p>
      <w:pPr>
        <w:pStyle w:val="Compact"/>
        <w:numPr>
          <w:ilvl w:val="0"/>
          <w:numId w:val="1006"/>
        </w:numPr>
      </w:pPr>
      <w:r>
        <w:t xml:space="preserve">The</w:t>
      </w:r>
      <w:r>
        <w:t xml:space="preserve"> </w:t>
      </w:r>
      <w:r>
        <w:rPr>
          <w:rStyle w:val="Fill-in"/>
        </w:rPr>
        <w:t xml:space="preserve">[System owner]</w:t>
      </w:r>
      <w:r>
        <w:t xml:space="preserve"> </w:t>
      </w:r>
      <w:r>
        <w:t xml:space="preserve">shall support the management of system accounts using</w:t>
      </w:r>
      <w:r>
        <w:t xml:space="preserve"> </w:t>
      </w:r>
      <w:r>
        <w:rPr>
          <w:rStyle w:val="Fill-in"/>
        </w:rPr>
        <w:t xml:space="preserve">[Fill in: automated mechanisms used to support the management of system accounts. Typical: the organization’s identity provider and its provisioning workflows]</w:t>
      </w:r>
      <w:r>
        <w:t xml:space="preserve">. (AC-2(1))</w:t>
      </w:r>
    </w:p>
    <w:bookmarkEnd w:id="25"/>
    <w:bookmarkStart w:id="26" w:name="X35e803996dd45f1c4e4985e7298fd5a51f5ebe4"/>
    <w:p>
      <w:pPr>
        <w:pStyle w:val="Heading4"/>
      </w:pPr>
      <w:r>
        <w:t xml:space="preserve">Automated temporary and emergency account management (AC-2(2))</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automatically</w:t>
      </w:r>
      <w:r>
        <w:t xml:space="preserve"> </w:t>
      </w:r>
      <w:r>
        <w:rPr>
          <w:rStyle w:val="Fill-in"/>
        </w:rPr>
        <w:t xml:space="preserve">[Select one: remove; disable. Typical: disable]</w:t>
      </w:r>
      <w:r>
        <w:t xml:space="preserve"> </w:t>
      </w:r>
      <w:r>
        <w:t xml:space="preserve">temporary and emergency accounts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(AC-2(2))</w:t>
      </w:r>
    </w:p>
    <w:bookmarkEnd w:id="26"/>
    <w:bookmarkStart w:id="27" w:name="disable-accounts-ac-23"/>
    <w:p>
      <w:pPr>
        <w:pStyle w:val="Heading4"/>
      </w:pPr>
      <w:r>
        <w:t xml:space="preserve">Disable accounts (AC-2(3))</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the account has expired. (AC-2(3)(a))</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no longer associated with a user or individual. (AC-2(3)(b))</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in violation of organizational policy. (AC-2(3)(c))</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disables an account that has been inactive for</w:t>
      </w:r>
      <w:r>
        <w:t xml:space="preserve"> </w:t>
      </w:r>
      <w:r>
        <w:rPr>
          <w:rStyle w:val="Fill-in"/>
        </w:rPr>
        <w:t xml:space="preserve">[Fill in: time period for account inactivity before disabling. Typical: 90 days]</w:t>
      </w:r>
      <w:r>
        <w:t xml:space="preserve">. (AC-2(3)(d))</w:t>
      </w:r>
    </w:p>
    <w:bookmarkEnd w:id="27"/>
    <w:bookmarkStart w:id="28" w:name="automated-audit-actions-ac-24"/>
    <w:p>
      <w:pPr>
        <w:pStyle w:val="Heading4"/>
      </w:pPr>
      <w:r>
        <w:t xml:space="preserve">Automated audit actions (AC-2(4))</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 automatically audits account creation, modification, enabling, disabling and removal actions. (AC-2(4))</w:t>
      </w:r>
    </w:p>
    <w:bookmarkEnd w:id="28"/>
    <w:bookmarkStart w:id="29" w:name="inactivity-logout-ac-25"/>
    <w:p>
      <w:pPr>
        <w:pStyle w:val="Heading4"/>
      </w:pPr>
      <w:r>
        <w:t xml:space="preserve">Inactivity logout (AC-2(5))</w:t>
      </w:r>
    </w:p>
    <w:p>
      <w:pPr>
        <w:pStyle w:val="Compact"/>
        <w:numPr>
          <w:ilvl w:val="0"/>
          <w:numId w:val="1010"/>
        </w:numPr>
      </w:pPr>
      <w:r>
        <w:t xml:space="preserve">Each user shall log out</w:t>
      </w:r>
      <w:r>
        <w:t xml:space="preserve"> </w:t>
      </w:r>
      <w:r>
        <w:rPr>
          <w:rStyle w:val="Fill-in"/>
        </w:rPr>
        <w:t xml:space="preserve">[Fill in: the time period of expected inactivity or description of when to log out. Typical: at the end of each work session, and when leaving the device unattended for longer than the device lock period]</w:t>
      </w:r>
      <w:r>
        <w:t xml:space="preserve">. (AC-2(5))</w:t>
      </w:r>
    </w:p>
    <w:bookmarkEnd w:id="29"/>
    <w:bookmarkStart w:id="30" w:name="usage-conditions-ac-211"/>
    <w:p>
      <w:pPr>
        <w:pStyle w:val="Heading4"/>
      </w:pPr>
      <w:r>
        <w:t xml:space="preserve">Usage conditions (AC-2(11))</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system enforces</w:t>
      </w:r>
      <w:r>
        <w:t xml:space="preserve"> </w:t>
      </w:r>
      <w:r>
        <w:rPr>
          <w:rStyle w:val="Fill-in"/>
        </w:rPr>
        <w:t xml:space="preserve">[Fill in: circumstances and/or usage conditions to be enforced for system accounts. Typical: restrictions by time of day, day of week and network location]</w:t>
      </w:r>
      <w:r>
        <w:t xml:space="preserve"> </w:t>
      </w:r>
      <w:r>
        <w:t xml:space="preserve">for</w:t>
      </w:r>
      <w:r>
        <w:t xml:space="preserve"> </w:t>
      </w:r>
      <w:r>
        <w:rPr>
          <w:rStyle w:val="Fill-in"/>
        </w:rPr>
        <w:t xml:space="preserve">[Fill in: system accounts subject to enforcement of circumstances and/or usage conditions. Typical: privileged and emergency accounts]</w:t>
      </w:r>
      <w:r>
        <w:t xml:space="preserve">. (AC-2(11))</w:t>
      </w:r>
    </w:p>
    <w:bookmarkEnd w:id="30"/>
    <w:bookmarkStart w:id="31" w:name="Xbbf781c52a2d05670f32aceab0bd70eb07c546b"/>
    <w:p>
      <w:pPr>
        <w:pStyle w:val="Heading4"/>
      </w:pPr>
      <w:r>
        <w:t xml:space="preserve">Account monitoring for atypical usage (AC-2(12))</w:t>
      </w:r>
    </w:p>
    <w:p>
      <w:pPr>
        <w:pStyle w:val="Compact"/>
        <w:numPr>
          <w:ilvl w:val="0"/>
          <w:numId w:val="1012"/>
        </w:numPr>
      </w:pPr>
      <w:r>
        <w:t xml:space="preserve">The</w:t>
      </w:r>
      <w:r>
        <w:t xml:space="preserve"> </w:t>
      </w:r>
      <w:r>
        <w:rPr>
          <w:rStyle w:val="Fill-in"/>
        </w:rPr>
        <w:t xml:space="preserve">[System owner]</w:t>
      </w:r>
      <w:r>
        <w:t xml:space="preserve"> </w:t>
      </w:r>
      <w:r>
        <w:t xml:space="preserve">shall ensure system accounts are monitored for</w:t>
      </w:r>
      <w:r>
        <w:t xml:space="preserve"> </w:t>
      </w:r>
      <w:r>
        <w:rPr>
          <w:rStyle w:val="Fill-in"/>
        </w:rPr>
        <w:t xml:space="preserve">[Fill in: atypical usage for which to monitor system accounts. Typical: logons at unusual times or from unusual locations, use of dormant accounts, and repeated failed privilege elevation]</w:t>
      </w:r>
      <w:r>
        <w:t xml:space="preserve">. (AC-2(12)(a))</w:t>
      </w:r>
    </w:p>
    <w:p>
      <w:pPr>
        <w:pStyle w:val="Compact"/>
        <w:numPr>
          <w:ilvl w:val="0"/>
          <w:numId w:val="1012"/>
        </w:numPr>
      </w:pPr>
      <w:r>
        <w:t xml:space="preserve">The</w:t>
      </w:r>
      <w:r>
        <w:t xml:space="preserve"> </w:t>
      </w:r>
      <w:r>
        <w:rPr>
          <w:rStyle w:val="Fill-in"/>
        </w:rPr>
        <w:t xml:space="preserve">[System owner]</w:t>
      </w:r>
      <w:r>
        <w:t xml:space="preserve"> </w:t>
      </w:r>
      <w:r>
        <w:t xml:space="preserve">shall ensure atypical usage of system accounts is reported to</w:t>
      </w:r>
      <w:r>
        <w:t xml:space="preserve"> </w:t>
      </w:r>
      <w:r>
        <w:rPr>
          <w:rStyle w:val="Fill-in"/>
        </w:rPr>
        <w:t xml:space="preserve">[Fill in: personnel or roles to report atypical usage. Typical: the security operations team and the system owner]</w:t>
      </w:r>
      <w:r>
        <w:t xml:space="preserve">. (AC-2(12)(b))</w:t>
      </w:r>
    </w:p>
    <w:bookmarkEnd w:id="31"/>
    <w:bookmarkStart w:id="32" w:name="Xe18f2831d548f66523dde9aa99e19ab964370c1"/>
    <w:p>
      <w:pPr>
        <w:pStyle w:val="Heading4"/>
      </w:pPr>
      <w:r>
        <w:t xml:space="preserve">Disable accounts for high-risk individuals (AC-2(13))</w:t>
      </w:r>
    </w:p>
    <w:p>
      <w:pPr>
        <w:pStyle w:val="Compact"/>
        <w:numPr>
          <w:ilvl w:val="0"/>
          <w:numId w:val="1013"/>
        </w:numPr>
      </w:pPr>
      <w:r>
        <w:t xml:space="preserve">The</w:t>
      </w:r>
      <w:r>
        <w:t xml:space="preserve"> </w:t>
      </w:r>
      <w:r>
        <w:rPr>
          <w:rStyle w:val="Fill-in"/>
        </w:rPr>
        <w:t xml:space="preserve">[Account manager]</w:t>
      </w:r>
      <w:r>
        <w:t xml:space="preserve"> </w:t>
      </w:r>
      <w:r>
        <w:t xml:space="preserve">shall disable the accounts of an individual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of</w:t>
      </w:r>
      <w:r>
        <w:t xml:space="preserve"> </w:t>
      </w:r>
      <w:r>
        <w:rPr>
          <w:rStyle w:val="Fill-in"/>
        </w:rPr>
        <w:t xml:space="preserve">[Fill in: significant risks leading to disabling accounts. Typical: credible indicators of insider threat, or notice of an adverse personnel action]</w:t>
      </w:r>
      <w:r>
        <w:t xml:space="preserve">. (AC-2(13))</w:t>
      </w:r>
    </w:p>
    <w:bookmarkEnd w:id="32"/>
    <w:bookmarkStart w:id="33" w:name="access-enforcement-ac-3"/>
    <w:p>
      <w:pPr>
        <w:pStyle w:val="Heading4"/>
      </w:pPr>
      <w:r>
        <w:t xml:space="preserve">Access enforcement (AC-3)</w:t>
      </w:r>
    </w:p>
    <w:p>
      <w:pPr>
        <w:pStyle w:val="Guidance"/>
      </w:pPr>
      <w:r>
        <w:t xml:space="preserve">AC-3 is enforced by the system, not by people: the statement makes the system owner accountable for configuring it. Assessors check that the roles and permissions in the system match the access authorizations approved under AC-2.</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33"/>
    <w:bookmarkStart w:id="35" w:name="information-flow-enforcement-ac-4"/>
    <w:p>
      <w:pPr>
        <w:pStyle w:val="Heading4"/>
      </w:pPr>
      <w:r>
        <w:t xml:space="preserve">Information flow enforcement (AC-4)</w:t>
      </w:r>
    </w:p>
    <w:p>
      <w:pPr>
        <w:pStyle w:val="Guidance"/>
      </w:pPr>
      <w:r>
        <w:t xml:space="preserve">Information flow enforcement decides where information may go, not who may see it: firewall and proxy rules, cross-domain and data loss prevention filters, and cloud network policies. The</w:t>
      </w:r>
      <w:r>
        <w:t xml:space="preserve"> </w:t>
      </w:r>
      <w:hyperlink r:id="rId34">
        <w:r>
          <w:rPr>
            <w:rStyle w:val="Hyperlink"/>
          </w:rPr>
          <w:t xml:space="preserve">Boundary Protection Standard</w:t>
        </w:r>
      </w:hyperlink>
      <w:r>
        <w:t xml:space="preserve"> </w:t>
      </w:r>
      <w:r>
        <w:t xml:space="preserve">holds the rules; interconnection agreements (CA-3) approve flows to other systems.</w:t>
      </w:r>
    </w:p>
    <w:p>
      <w:pPr>
        <w:pStyle w:val="Compact"/>
        <w:numPr>
          <w:ilvl w:val="0"/>
          <w:numId w:val="1015"/>
        </w:numPr>
      </w:pPr>
      <w:r>
        <w:t xml:space="preserve">The</w:t>
      </w:r>
      <w:r>
        <w:t xml:space="preserve"> </w:t>
      </w:r>
      <w:r>
        <w:rPr>
          <w:rStyle w:val="Fill-in"/>
        </w:rPr>
        <w:t xml:space="preserve">[System owner]</w:t>
      </w:r>
      <w:r>
        <w:t xml:space="preserve"> </w:t>
      </w:r>
      <w:r>
        <w:t xml:space="preserve">shall ensure the system enforces approved authorizations for controlling the flow of information within the system and between connected systems based on</w:t>
      </w:r>
      <w:r>
        <w:t xml:space="preserve"> </w:t>
      </w:r>
      <w:r>
        <w:rPr>
          <w:rStyle w:val="Fill-in"/>
        </w:rPr>
        <w:t xml:space="preserve">[Fill in: information flow control policies within the system and between connected systems. Typical: the boundary protection standard and the approved interconnection agreements]</w:t>
      </w:r>
      <w:r>
        <w:t xml:space="preserve">. (AC-4)</w:t>
      </w:r>
    </w:p>
    <w:bookmarkEnd w:id="35"/>
    <w:bookmarkStart w:id="36" w:name="X587990dd6226d85ab3e105e465d5b76983a1c21"/>
    <w:p>
      <w:pPr>
        <w:pStyle w:val="Heading4"/>
      </w:pPr>
      <w:r>
        <w:t xml:space="preserve">Flow control of encrypted information (AC-4(4))</w:t>
      </w:r>
    </w:p>
    <w:p>
      <w:pPr>
        <w:pStyle w:val="Compact"/>
        <w:numPr>
          <w:ilvl w:val="0"/>
          <w:numId w:val="1016"/>
        </w:numPr>
      </w:pPr>
      <w:r>
        <w:t xml:space="preserve">The</w:t>
      </w:r>
      <w:r>
        <w:t xml:space="preserve"> </w:t>
      </w:r>
      <w:r>
        <w:rPr>
          <w:rStyle w:val="Fill-in"/>
        </w:rPr>
        <w:t xml:space="preserve">[System owner]</w:t>
      </w:r>
      <w:r>
        <w:t xml:space="preserve"> </w:t>
      </w:r>
      <w:r>
        <w:t xml:space="preserve">shall ensure encrypted information is prevented from bypassing</w:t>
      </w:r>
      <w:r>
        <w:t xml:space="preserve"> </w:t>
      </w:r>
      <w:r>
        <w:rPr>
          <w:rStyle w:val="Fill-in"/>
        </w:rPr>
        <w:t xml:space="preserve">[Fill in: information flow control mechanisms that encrypted information is prevented from bypassing. Typical: the boundary firewalls and data loss prevention service]</w:t>
      </w:r>
      <w:r>
        <w:t xml:space="preserve"> </w:t>
      </w:r>
      <w:r>
        <w:t xml:space="preserve">by</w:t>
      </w:r>
      <w:r>
        <w:t xml:space="preserve"> </w:t>
      </w:r>
      <w:r>
        <w:rPr>
          <w:rStyle w:val="Fill-in"/>
        </w:rPr>
        <w:t xml:space="preserve">[Select one or more: decrypting the information; blocking the flow of the encrypted information; terminating communications sessions attempting to pass encrypted information; [Assignment: organization-defined procedure or method]. Typical: decrypting the information at the boundary for inspection]</w:t>
      </w:r>
      <w:r>
        <w:t xml:space="preserve">. (AC-4(4))</w:t>
      </w:r>
    </w:p>
    <w:bookmarkEnd w:id="36"/>
    <w:bookmarkStart w:id="37" w:name="separation-of-duties-ac-5"/>
    <w:p>
      <w:pPr>
        <w:pStyle w:val="Heading4"/>
      </w:pPr>
      <w:r>
        <w:t xml:space="preserve">Separation of duties (AC-5)</w:t>
      </w:r>
    </w:p>
    <w:p>
      <w:pPr>
        <w:pStyle w:val="Compact"/>
        <w:numPr>
          <w:ilvl w:val="0"/>
          <w:numId w:val="1017"/>
        </w:numPr>
      </w:pPr>
      <w:r>
        <w:t xml:space="preserve">The</w:t>
      </w:r>
      <w:r>
        <w:t xml:space="preserve"> </w:t>
      </w:r>
      <w:r>
        <w:rPr>
          <w:rStyle w:val="Fill-in"/>
        </w:rPr>
        <w:t xml:space="preserve">[System owner]</w:t>
      </w:r>
      <w:r>
        <w:t xml:space="preserve"> </w:t>
      </w:r>
      <w:r>
        <w:t xml:space="preserve">shall identify and document</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(AC-5a)</w:t>
      </w:r>
    </w:p>
    <w:p>
      <w:pPr>
        <w:pStyle w:val="Compact"/>
        <w:numPr>
          <w:ilvl w:val="0"/>
          <w:numId w:val="1017"/>
        </w:numPr>
      </w:pPr>
      <w:r>
        <w:t xml:space="preserve">The</w:t>
      </w:r>
      <w:r>
        <w:t xml:space="preserve"> </w:t>
      </w:r>
      <w:r>
        <w:rPr>
          <w:rStyle w:val="Fill-in"/>
        </w:rPr>
        <w:t xml:space="preserve">[System owner]</w:t>
      </w:r>
      <w:r>
        <w:t xml:space="preserve"> </w:t>
      </w:r>
      <w:r>
        <w:t xml:space="preserve">shall define system access authorizations that support separation of those duties. (AC-5b)</w:t>
      </w:r>
    </w:p>
    <w:bookmarkEnd w:id="37"/>
    <w:bookmarkStart w:id="38" w:name="least-privilege-ac-6"/>
    <w:p>
      <w:pPr>
        <w:pStyle w:val="Heading4"/>
      </w:pPr>
      <w:r>
        <w:t xml:space="preserve">Least privilege (AC-6)</w:t>
      </w:r>
    </w:p>
    <w:p>
      <w:pPr>
        <w:pStyle w:val="Compact"/>
        <w:numPr>
          <w:ilvl w:val="0"/>
          <w:numId w:val="1018"/>
        </w:numPr>
      </w:pPr>
      <w:r>
        <w:t xml:space="preserve">The</w:t>
      </w:r>
      <w:r>
        <w:t xml:space="preserve"> </w:t>
      </w:r>
      <w:r>
        <w:rPr>
          <w:rStyle w:val="Fill-in"/>
        </w:rPr>
        <w:t xml:space="preserve">[System owner]</w:t>
      </w:r>
      <w:r>
        <w:t xml:space="preserve"> </w:t>
      </w:r>
      <w:r>
        <w:t xml:space="preserve">shall ensure users, and processes acting on behalf of users, are granted only the access necessary to accomplish their assigned organizational tasks. (AC-6)</w:t>
      </w:r>
    </w:p>
    <w:bookmarkEnd w:id="38"/>
    <w:bookmarkStart w:id="39" w:name="X177fe2d749b035774dfc072df668e9dd34bc1e9"/>
    <w:p>
      <w:pPr>
        <w:pStyle w:val="Heading4"/>
      </w:pPr>
      <w:r>
        <w:t xml:space="preserve">Authorize access to security functions (AC-6(1))</w:t>
      </w:r>
    </w:p>
    <w:p>
      <w:pPr>
        <w:pStyle w:val="Compact"/>
        <w:numPr>
          <w:ilvl w:val="0"/>
          <w:numId w:val="1019"/>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 functions (deployed in hardware, software, and firmware). Typical: account management, audit configuration, security settings and cryptographic key management]</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(AC-6(1)(a))</w:t>
      </w:r>
    </w:p>
    <w:p>
      <w:pPr>
        <w:pStyle w:val="Compact"/>
        <w:numPr>
          <w:ilvl w:val="0"/>
          <w:numId w:val="1019"/>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security-relevant information for authorized access. Typical: audit logs, security configuration settings and access control lists]</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(AC-6(1)(b))</w:t>
      </w:r>
    </w:p>
    <w:bookmarkEnd w:id="39"/>
    <w:bookmarkStart w:id="40" w:name="X3a20c3c8012fbd517d803985e5e2c3716cca251"/>
    <w:p>
      <w:pPr>
        <w:pStyle w:val="Heading4"/>
      </w:pPr>
      <w:r>
        <w:t xml:space="preserve">Non-privileged access for nonsecurity functions (AC-6(2))</w:t>
      </w:r>
    </w:p>
    <w:p>
      <w:pPr>
        <w:pStyle w:val="Compact"/>
        <w:numPr>
          <w:ilvl w:val="0"/>
          <w:numId w:val="1020"/>
        </w:numPr>
      </w:pPr>
      <w:r>
        <w:t xml:space="preserve">Users of accounts or roles with access to</w:t>
      </w:r>
      <w:r>
        <w:t xml:space="preserve"> </w:t>
      </w:r>
      <w:r>
        <w:rPr>
          <w:rStyle w:val="Fill-in"/>
        </w:rPr>
        <w:t xml:space="preserve">[Fill in: security functions or security-relevant information, the access to which requires users to use non-privileged accounts to access non-security functions,. Typical: the security functions and security-relevant information authorized under AC-6(1)]</w:t>
      </w:r>
      <w:r>
        <w:t xml:space="preserve"> </w:t>
      </w:r>
      <w:r>
        <w:t xml:space="preserve">shall use non-privileged accounts or roles when accessing nonsecurity functions such as email and web browsing. (AC-6(2))</w:t>
      </w:r>
    </w:p>
    <w:bookmarkEnd w:id="40"/>
    <w:bookmarkStart w:id="41" w:name="X9893b7f3b4025c5a03d21d02c31804777755fa5"/>
    <w:p>
      <w:pPr>
        <w:pStyle w:val="Heading4"/>
      </w:pPr>
      <w:r>
        <w:t xml:space="preserve">Network access to privileged commands (AC-6(3))</w:t>
      </w:r>
    </w:p>
    <w:p>
      <w:pPr>
        <w:pStyle w:val="Compact"/>
        <w:numPr>
          <w:ilvl w:val="0"/>
          <w:numId w:val="1021"/>
        </w:numPr>
      </w:pPr>
      <w:r>
        <w:t xml:space="preserve">The</w:t>
      </w:r>
      <w:r>
        <w:t xml:space="preserve"> </w:t>
      </w:r>
      <w:r>
        <w:rPr>
          <w:rStyle w:val="Fill-in"/>
        </w:rPr>
        <w:t xml:space="preserve">[System owner]</w:t>
      </w:r>
      <w:r>
        <w:t xml:space="preserve"> </w:t>
      </w:r>
      <w:r>
        <w:t xml:space="preserve">shall authorize network access to</w:t>
      </w:r>
      <w:r>
        <w:t xml:space="preserve"> </w:t>
      </w:r>
      <w:r>
        <w:rPr>
          <w:rStyle w:val="Fill-in"/>
        </w:rPr>
        <w:t xml:space="preserve">[Fill in: privileged commands to which network access is to be authorized only for compelling operational needs. Typical: all privileged commands]</w:t>
      </w:r>
      <w:r>
        <w:t xml:space="preserve"> </w:t>
      </w:r>
      <w:r>
        <w:t xml:space="preserve">only for</w:t>
      </w:r>
      <w:r>
        <w:t xml:space="preserve"> </w:t>
      </w:r>
      <w:r>
        <w:rPr>
          <w:rStyle w:val="Fill-in"/>
        </w:rPr>
        <w:t xml:space="preserve">[Fill in: compelling operational needs necessitating network access to privileged commands. Typical: administration that cannot be performed from a local console or dedicated management network]</w:t>
      </w:r>
      <w:r>
        <w:t xml:space="preserve">. (AC-6(3))</w:t>
      </w:r>
    </w:p>
    <w:p>
      <w:pPr>
        <w:pStyle w:val="Compact"/>
        <w:numPr>
          <w:ilvl w:val="0"/>
          <w:numId w:val="1021"/>
        </w:numPr>
      </w:pPr>
      <w:r>
        <w:t xml:space="preserve">The</w:t>
      </w:r>
      <w:r>
        <w:t xml:space="preserve"> </w:t>
      </w:r>
      <w:r>
        <w:rPr>
          <w:rStyle w:val="Fill-in"/>
        </w:rPr>
        <w:t xml:space="preserve">[System owner]</w:t>
      </w:r>
      <w:r>
        <w:t xml:space="preserve"> </w:t>
      </w:r>
      <w:r>
        <w:t xml:space="preserve">shall document the rationale for such access in the system security plan. (AC-6(3))</w:t>
      </w:r>
    </w:p>
    <w:bookmarkEnd w:id="41"/>
    <w:bookmarkStart w:id="42" w:name="privileged-accounts-ac-65"/>
    <w:p>
      <w:pPr>
        <w:pStyle w:val="Heading4"/>
      </w:pPr>
      <w:r>
        <w:t xml:space="preserve">Privileged accounts (AC-6(5))</w:t>
      </w:r>
    </w:p>
    <w:p>
      <w:pPr>
        <w:pStyle w:val="Compact"/>
        <w:numPr>
          <w:ilvl w:val="0"/>
          <w:numId w:val="1022"/>
        </w:numPr>
      </w:pPr>
      <w:r>
        <w:t xml:space="preserve">The</w:t>
      </w:r>
      <w:r>
        <w:t xml:space="preserve"> </w:t>
      </w:r>
      <w:r>
        <w:rPr>
          <w:rStyle w:val="Fill-in"/>
        </w:rPr>
        <w:t xml:space="preserve">[System owner]</w:t>
      </w:r>
      <w:r>
        <w:t xml:space="preserve"> </w:t>
      </w:r>
      <w:r>
        <w:t xml:space="preserve">shall restrict privileged accounts on the system to</w:t>
      </w:r>
      <w:r>
        <w:t xml:space="preserve"> </w:t>
      </w:r>
      <w:r>
        <w:rPr>
          <w:rStyle w:val="Fill-in"/>
        </w:rPr>
        <w:t xml:space="preserve">[Fill in: personnel or roles to which privileged accounts on the system are to be restricted. Typical: the system administrators named in the system security plan]</w:t>
      </w:r>
      <w:r>
        <w:t xml:space="preserve">. (AC-6(5))</w:t>
      </w:r>
    </w:p>
    <w:bookmarkEnd w:id="42"/>
    <w:bookmarkStart w:id="43" w:name="review-of-user-privileges-ac-67"/>
    <w:p>
      <w:pPr>
        <w:pStyle w:val="Heading4"/>
      </w:pPr>
      <w:r>
        <w:t xml:space="preserve">Review of user privileges (AC-6(7))</w:t>
      </w:r>
    </w:p>
    <w:p>
      <w:pPr>
        <w:pStyle w:val="Compact"/>
        <w:numPr>
          <w:ilvl w:val="0"/>
          <w:numId w:val="1023"/>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the privileges assigned to</w:t>
      </w:r>
      <w:r>
        <w:t xml:space="preserve"> </w:t>
      </w:r>
      <w:r>
        <w:rPr>
          <w:rStyle w:val="Fill-in"/>
        </w:rPr>
        <w:t xml:space="preserve">[Fill in: roles or classes of users to which privileges are assigned. Typical: all roles and classes of users on the system]</w:t>
      </w:r>
      <w:r>
        <w:t xml:space="preserve"> </w:t>
      </w:r>
      <w:r>
        <w:t xml:space="preserve">to validate the need for them. (AC-6(7)(a))</w:t>
      </w:r>
    </w:p>
    <w:p>
      <w:pPr>
        <w:pStyle w:val="Compact"/>
        <w:numPr>
          <w:ilvl w:val="0"/>
          <w:numId w:val="1023"/>
        </w:numPr>
      </w:pPr>
      <w:r>
        <w:t xml:space="preserve">The</w:t>
      </w:r>
      <w:r>
        <w:t xml:space="preserve"> </w:t>
      </w:r>
      <w:r>
        <w:rPr>
          <w:rStyle w:val="Fill-in"/>
        </w:rPr>
        <w:t xml:space="preserve">[Account manager]</w:t>
      </w:r>
      <w:r>
        <w:t xml:space="preserve"> </w:t>
      </w:r>
      <w:r>
        <w:t xml:space="preserve">shall reassign or remove privileges the review finds are not needed for the user’s mission and business functions. (AC-6(7)(b))</w:t>
      </w:r>
    </w:p>
    <w:bookmarkEnd w:id="43"/>
    <w:bookmarkStart w:id="44" w:name="log-use-of-privileged-functions-ac-69"/>
    <w:p>
      <w:pPr>
        <w:pStyle w:val="Heading4"/>
      </w:pPr>
      <w:r>
        <w:t xml:space="preserve">Log use of privileged functions (AC-6(9))</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 logs the execution of privileged functions. (AC-6(9))</w:t>
      </w:r>
    </w:p>
    <w:bookmarkEnd w:id="44"/>
    <w:bookmarkStart w:id="45" w:name="Xda503a605bdb342412ca5ac5986d1e0097f2cf2"/>
    <w:p>
      <w:pPr>
        <w:pStyle w:val="Heading4"/>
      </w:pPr>
      <w:r>
        <w:t xml:space="preserve">Prohibit non-privileged users from executing privileged functions (AC-6(10))</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prevents non-privileged users from executing privileged functions. (AC-6(10))</w:t>
      </w:r>
    </w:p>
    <w:bookmarkEnd w:id="45"/>
    <w:bookmarkStart w:id="46" w:name="unsuccessful-logon-attempts-ac-7"/>
    <w:p>
      <w:pPr>
        <w:pStyle w:val="Heading4"/>
      </w:pPr>
      <w:r>
        <w:t xml:space="preserve">Unsuccessful logon attempts (AC-7)</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46"/>
    <w:bookmarkStart w:id="49" w:name="system-use-notification-ac-8"/>
    <w:p>
      <w:pPr>
        <w:pStyle w:val="Heading4"/>
      </w:pPr>
      <w:r>
        <w:t xml:space="preserve">System use notification (AC-8)</w:t>
      </w:r>
    </w:p>
    <w:p>
      <w:pPr>
        <w:pStyle w:val="Guidance"/>
      </w:pPr>
      <w:r>
        <w:t xml:space="preserve">The banner text is usually approved once by legal counsel and reused on every system. The four notices listed in AC-8a are written for U.S. Government systems; the statements below keep the ones that apply to any organization and move the two government-only notices to the federal section.</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27"/>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27"/>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27"/>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27"/>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48" w:name="federal-systems"/>
    <w:p>
      <w:pPr>
        <w:pStyle w:val="Heading5"/>
      </w:pPr>
      <w:r>
        <w:t xml:space="preserve">Federal systems</w:t>
      </w:r>
    </w:p>
    <w:p>
      <w:pPr>
        <w:pStyle w:val="FirstParagraph"/>
      </w:pPr>
      <w:r>
        <w:t xml:space="preserve">SP 800-53 Rev. 5 AC-8a requires the notice on federal systems to state two more things (</w:t>
      </w:r>
      <w:hyperlink r:id="rId47">
        <w:r>
          <w:rPr>
            <w:rStyle w:val="Hyperlink"/>
          </w:rPr>
          <w:t xml:space="preserve">AC-8</w:t>
        </w:r>
      </w:hyperlink>
      <w:r>
        <w:t xml:space="preserve">).</w:t>
      </w:r>
    </w:p>
    <w:p>
      <w:pPr>
        <w:pStyle w:val="Compact"/>
        <w:numPr>
          <w:ilvl w:val="0"/>
          <w:numId w:val="1028"/>
        </w:numPr>
      </w:pPr>
      <w:r>
        <w:t xml:space="preserve">The notice shall state that users are accessing a U.S. Government system. (AC-8a.1)</w:t>
      </w:r>
    </w:p>
    <w:p>
      <w:pPr>
        <w:pStyle w:val="Compact"/>
        <w:numPr>
          <w:ilvl w:val="0"/>
          <w:numId w:val="1028"/>
        </w:numPr>
      </w:pPr>
      <w:r>
        <w:t xml:space="preserve">The notice shall state that unauthorized use of the system is subject to criminal and civil penalties. (AC-8a.3)</w:t>
      </w:r>
    </w:p>
    <w:bookmarkEnd w:id="48"/>
    <w:bookmarkEnd w:id="49"/>
    <w:bookmarkStart w:id="50" w:name="concurrent-session-control-ac-10"/>
    <w:p>
      <w:pPr>
        <w:pStyle w:val="Heading4"/>
      </w:pPr>
      <w:r>
        <w:t xml:space="preserve">Concurrent session control (AC-10)</w:t>
      </w:r>
    </w:p>
    <w:p>
      <w:pPr>
        <w:pStyle w:val="Compact"/>
        <w:numPr>
          <w:ilvl w:val="0"/>
          <w:numId w:val="1029"/>
        </w:numPr>
      </w:pPr>
      <w:r>
        <w:t xml:space="preserve">The</w:t>
      </w:r>
      <w:r>
        <w:t xml:space="preserve"> </w:t>
      </w:r>
      <w:r>
        <w:rPr>
          <w:rStyle w:val="Fill-in"/>
        </w:rPr>
        <w:t xml:space="preserve">[System owner]</w:t>
      </w:r>
      <w:r>
        <w:t xml:space="preserve"> </w:t>
      </w:r>
      <w:r>
        <w:t xml:space="preserve">shall ensure the system limits the number of concurrent sessions for</w:t>
      </w:r>
      <w:r>
        <w:t xml:space="preserve"> </w:t>
      </w:r>
      <w:r>
        <w:rPr>
          <w:rStyle w:val="Fill-in"/>
        </w:rPr>
        <w:t xml:space="preserve">[Fill in: accounts and/or account types for which to limit the number of concurrent sessions. Typical: privileged accounts]</w:t>
      </w:r>
      <w:r>
        <w:t xml:space="preserve"> </w:t>
      </w:r>
      <w:r>
        <w:t xml:space="preserve">to</w:t>
      </w:r>
      <w:r>
        <w:t xml:space="preserve"> </w:t>
      </w:r>
      <w:r>
        <w:rPr>
          <w:rStyle w:val="Fill-in"/>
        </w:rPr>
        <w:t xml:space="preserve">[Fill in: the number of concurrent sessions to be allowed for each account and/or account type. Typical: one]</w:t>
      </w:r>
      <w:r>
        <w:t xml:space="preserve">. (AC-10)</w:t>
      </w:r>
    </w:p>
    <w:bookmarkEnd w:id="50"/>
    <w:bookmarkStart w:id="51" w:name="device-lock-ac-11"/>
    <w:p>
      <w:pPr>
        <w:pStyle w:val="Heading4"/>
      </w:pPr>
      <w:r>
        <w:t xml:space="preserve">Device lock (AC-11)</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system prevents further access by</w:t>
      </w:r>
      <w:r>
        <w:t xml:space="preserve"> </w:t>
      </w:r>
      <w:r>
        <w:rPr>
          <w:rStyle w:val="Fill-in"/>
        </w:rPr>
        <w:t xml:space="preserve">[Select one or more: initiating a device lock after [Assignment: organization-defined time period] of inactivity; requiring the user to initiate a device lock before leaving the system unattended. Typical: initiating a device lock after 15 minutes of inactivity, and requiring the user to initiate a device lock before leaving the system unattended]</w:t>
      </w:r>
      <w:r>
        <w:t xml:space="preserve">. (AC-11a)</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device lock remains until the user reestablishes access using the established identification and authentication procedures. (AC-11b)</w:t>
      </w:r>
    </w:p>
    <w:bookmarkEnd w:id="51"/>
    <w:bookmarkStart w:id="52" w:name="pattern-hiding-displays-ac-111"/>
    <w:p>
      <w:pPr>
        <w:pStyle w:val="Heading4"/>
      </w:pPr>
      <w:r>
        <w:t xml:space="preserve">Pattern-hiding displays (AC-11(1))</w:t>
      </w:r>
    </w:p>
    <w:p>
      <w:pPr>
        <w:pStyle w:val="Compact"/>
        <w:numPr>
          <w:ilvl w:val="0"/>
          <w:numId w:val="1031"/>
        </w:numPr>
      </w:pPr>
      <w:r>
        <w:t xml:space="preserve">The</w:t>
      </w:r>
      <w:r>
        <w:t xml:space="preserve"> </w:t>
      </w:r>
      <w:r>
        <w:rPr>
          <w:rStyle w:val="Fill-in"/>
        </w:rPr>
        <w:t xml:space="preserve">[System owner]</w:t>
      </w:r>
      <w:r>
        <w:t xml:space="preserve"> </w:t>
      </w:r>
      <w:r>
        <w:t xml:space="preserve">shall ensure the device lock conceals information previously visible on the display with a publicly viewable image. (AC-11(1))</w:t>
      </w:r>
    </w:p>
    <w:bookmarkEnd w:id="52"/>
    <w:bookmarkStart w:id="53" w:name="session-termination-ac-12"/>
    <w:p>
      <w:pPr>
        <w:pStyle w:val="Heading4"/>
      </w:pPr>
      <w:r>
        <w:t xml:space="preserve">Session termination (AC-12)</w:t>
      </w:r>
    </w:p>
    <w:p>
      <w:pPr>
        <w:pStyle w:val="Compact"/>
        <w:numPr>
          <w:ilvl w:val="0"/>
          <w:numId w:val="1032"/>
        </w:numPr>
      </w:pPr>
      <w:r>
        <w:t xml:space="preserve">The</w:t>
      </w:r>
      <w:r>
        <w:t xml:space="preserve"> </w:t>
      </w:r>
      <w:r>
        <w:rPr>
          <w:rStyle w:val="Fill-in"/>
        </w:rPr>
        <w:t xml:space="preserve">[System owner]</w:t>
      </w:r>
      <w:r>
        <w:t xml:space="preserve"> </w:t>
      </w:r>
      <w:r>
        <w:t xml:space="preserve">shall ensure the system automatically terminates a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bookmarkEnd w:id="53"/>
    <w:bookmarkStart w:id="54" w:name="Xf121a6090dc4fed50eb726d5cb35d35e0a89f04"/>
    <w:p>
      <w:pPr>
        <w:pStyle w:val="Heading4"/>
      </w:pPr>
      <w:r>
        <w:t xml:space="preserve">Permitted actions without identification or authentication (AC-14)</w:t>
      </w:r>
    </w:p>
    <w:p>
      <w:pPr>
        <w:pStyle w:val="Compact"/>
        <w:numPr>
          <w:ilvl w:val="0"/>
          <w:numId w:val="1033"/>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33"/>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54"/>
    <w:bookmarkStart w:id="56" w:name="remote-access-ac-17"/>
    <w:p>
      <w:pPr>
        <w:pStyle w:val="Heading4"/>
      </w:pPr>
      <w:r>
        <w:t xml:space="preserve">Remote access (AC-17)</w:t>
      </w:r>
    </w:p>
    <w:p>
      <w:pPr>
        <w:pStyle w:val="Guidance"/>
      </w:pPr>
      <w:r>
        <w:t xml:space="preserve">The</w:t>
      </w:r>
      <w:r>
        <w:t xml:space="preserve"> </w:t>
      </w:r>
      <w:hyperlink r:id="rId55">
        <w:r>
          <w:rPr>
            <w:rStyle w:val="Hyperlink"/>
          </w:rPr>
          <w:t xml:space="preserve">remote access standard</w:t>
        </w:r>
      </w:hyperlink>
      <w:r>
        <w:t xml:space="preserve"> </w:t>
      </w:r>
      <w:r>
        <w:t xml:space="preserve">is where the CISO documents the usage restrictions, configuration and connection requirements and implementation guidance for each allowed method (AC-17a), along with the AC-17(1) to AC-17(4) requirements. Each system’s security plan records which of those methods the system owner has authorized (AC-17b).</w:t>
      </w:r>
    </w:p>
    <w:p>
      <w:pPr>
        <w:pStyle w:val="Compact"/>
        <w:numPr>
          <w:ilvl w:val="0"/>
          <w:numId w:val="1034"/>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34"/>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56"/>
    <w:bookmarkStart w:id="57" w:name="Xfcae350b41e09ed868197c4a4a85f57bad51f90"/>
    <w:p>
      <w:pPr>
        <w:pStyle w:val="Heading4"/>
      </w:pPr>
      <w:r>
        <w:t xml:space="preserve">Remote access monitoring and control (AC-17(1))</w:t>
      </w:r>
    </w:p>
    <w:p>
      <w:pPr>
        <w:pStyle w:val="Compact"/>
        <w:numPr>
          <w:ilvl w:val="0"/>
          <w:numId w:val="1035"/>
        </w:numPr>
      </w:pPr>
      <w:r>
        <w:t xml:space="preserve">The</w:t>
      </w:r>
      <w:r>
        <w:t xml:space="preserve"> </w:t>
      </w:r>
      <w:r>
        <w:rPr>
          <w:rStyle w:val="Fill-in"/>
        </w:rPr>
        <w:t xml:space="preserve">[System owner]</w:t>
      </w:r>
      <w:r>
        <w:t xml:space="preserve"> </w:t>
      </w:r>
      <w:r>
        <w:t xml:space="preserve">shall employ automated mechanisms to monitor and control remote access methods. (AC-17(1))</w:t>
      </w:r>
    </w:p>
    <w:bookmarkEnd w:id="57"/>
    <w:bookmarkStart w:id="58" w:name="Xde0e91d84a3785bf8bc4ef68d38ad15f62a333e"/>
    <w:p>
      <w:pPr>
        <w:pStyle w:val="Heading4"/>
      </w:pPr>
      <w:r>
        <w:t xml:space="preserve">Protection of confidentiality and integrity using encryption (AC-17(2))</w:t>
      </w:r>
    </w:p>
    <w:p>
      <w:pPr>
        <w:pStyle w:val="Compact"/>
        <w:numPr>
          <w:ilvl w:val="0"/>
          <w:numId w:val="1036"/>
        </w:numPr>
      </w:pPr>
      <w:r>
        <w:t xml:space="preserve">The</w:t>
      </w:r>
      <w:r>
        <w:t xml:space="preserve"> </w:t>
      </w:r>
      <w:r>
        <w:rPr>
          <w:rStyle w:val="Fill-in"/>
        </w:rPr>
        <w:t xml:space="preserve">[System owner]</w:t>
      </w:r>
      <w:r>
        <w:t xml:space="preserve"> </w:t>
      </w:r>
      <w:r>
        <w:t xml:space="preserve">shall ensure cryptographic mechanisms protect the confidentiality and integrity of remote access sessions. (AC-17(2))</w:t>
      </w:r>
    </w:p>
    <w:bookmarkEnd w:id="58"/>
    <w:bookmarkStart w:id="59" w:name="managed-access-control-points-ac-173"/>
    <w:p>
      <w:pPr>
        <w:pStyle w:val="Heading4"/>
      </w:pPr>
      <w:r>
        <w:t xml:space="preserve">Managed access control points (AC-17(3))</w:t>
      </w:r>
    </w:p>
    <w:p>
      <w:pPr>
        <w:pStyle w:val="Compact"/>
        <w:numPr>
          <w:ilvl w:val="0"/>
          <w:numId w:val="1037"/>
        </w:numPr>
      </w:pPr>
      <w:r>
        <w:t xml:space="preserve">The</w:t>
      </w:r>
      <w:r>
        <w:t xml:space="preserve"> </w:t>
      </w:r>
      <w:r>
        <w:rPr>
          <w:rStyle w:val="Fill-in"/>
        </w:rPr>
        <w:t xml:space="preserve">[System owner]</w:t>
      </w:r>
      <w:r>
        <w:t xml:space="preserve"> </w:t>
      </w:r>
      <w:r>
        <w:t xml:space="preserve">shall ensure remote access is routed through authorized and managed network access control points. (AC-17(3))</w:t>
      </w:r>
    </w:p>
    <w:bookmarkEnd w:id="59"/>
    <w:bookmarkStart w:id="60" w:name="X7e6f5aa6fd520aa3aaef8fb43bfbc5ef6e37200"/>
    <w:p>
      <w:pPr>
        <w:pStyle w:val="Heading4"/>
      </w:pPr>
      <w:r>
        <w:t xml:space="preserve">Remote privileged commands and access (AC-17(4))</w:t>
      </w:r>
    </w:p>
    <w:p>
      <w:pPr>
        <w:pStyle w:val="Compact"/>
        <w:numPr>
          <w:ilvl w:val="0"/>
          <w:numId w:val="1038"/>
        </w:numPr>
      </w:pPr>
      <w:r>
        <w:t xml:space="preserve">The</w:t>
      </w:r>
      <w:r>
        <w:t xml:space="preserve"> </w:t>
      </w:r>
      <w:r>
        <w:rPr>
          <w:rStyle w:val="Fill-in"/>
        </w:rPr>
        <w:t xml:space="preserve">[System owner]</w:t>
      </w:r>
      <w:r>
        <w:t xml:space="preserve"> </w:t>
      </w:r>
      <w:r>
        <w:t xml:space="preserve">shall authorize the execution of privileged commands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and only in a format that provides assessable evidence. (AC-17(4)(a))</w:t>
      </w:r>
    </w:p>
    <w:p>
      <w:pPr>
        <w:pStyle w:val="Compact"/>
        <w:numPr>
          <w:ilvl w:val="0"/>
          <w:numId w:val="1038"/>
        </w:numPr>
      </w:pPr>
      <w:r>
        <w:t xml:space="preserve">The</w:t>
      </w:r>
      <w:r>
        <w:t xml:space="preserve"> </w:t>
      </w:r>
      <w:r>
        <w:rPr>
          <w:rStyle w:val="Fill-in"/>
        </w:rPr>
        <w:t xml:space="preserve">[System owner]</w:t>
      </w:r>
      <w:r>
        <w:t xml:space="preserve"> </w:t>
      </w:r>
      <w:r>
        <w:t xml:space="preserve">shall authorize access to security-relevant information via remote access only for</w:t>
      </w:r>
      <w:r>
        <w:t xml:space="preserve"> </w:t>
      </w:r>
      <w:r>
        <w:rPr>
          <w:rStyle w:val="Fill-in"/>
        </w:rPr>
        <w:t xml:space="preserve">[Fill in: needs requiring access to security-relevant information via remote access. Typical: investigation of security incidents]</w:t>
      </w:r>
      <w:r>
        <w:t xml:space="preserve">, and only in a format that provides assessable evidence. (AC-17(4)(a))</w:t>
      </w:r>
    </w:p>
    <w:p>
      <w:pPr>
        <w:pStyle w:val="Compact"/>
        <w:numPr>
          <w:ilvl w:val="0"/>
          <w:numId w:val="1038"/>
        </w:numPr>
      </w:pPr>
      <w:r>
        <w:t xml:space="preserve">The</w:t>
      </w:r>
      <w:r>
        <w:t xml:space="preserve"> </w:t>
      </w:r>
      <w:r>
        <w:rPr>
          <w:rStyle w:val="Fill-in"/>
        </w:rPr>
        <w:t xml:space="preserve">[System owner]</w:t>
      </w:r>
      <w:r>
        <w:t xml:space="preserve"> </w:t>
      </w:r>
      <w:r>
        <w:t xml:space="preserve">shall document the rationale for such remote access in the system security plan. (AC-17(4)(b))</w:t>
      </w:r>
    </w:p>
    <w:bookmarkEnd w:id="60"/>
    <w:bookmarkStart w:id="61" w:name="wireless-access-ac-18"/>
    <w:p>
      <w:pPr>
        <w:pStyle w:val="Heading4"/>
      </w:pPr>
      <w:r>
        <w:t xml:space="preserve">Wireless access (AC-18)</w:t>
      </w:r>
    </w:p>
    <w:p>
      <w:pPr>
        <w:pStyle w:val="Compact"/>
        <w:numPr>
          <w:ilvl w:val="0"/>
          <w:numId w:val="1039"/>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39"/>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61"/>
    <w:bookmarkStart w:id="62" w:name="X8551b80257ae40304e7f664f2ae76b3d6085cb1"/>
    <w:p>
      <w:pPr>
        <w:pStyle w:val="Heading4"/>
      </w:pPr>
      <w:r>
        <w:t xml:space="preserve">Wireless authentication and encryption (AC-18(1))</w:t>
      </w:r>
    </w:p>
    <w:p>
      <w:pPr>
        <w:pStyle w:val="Compact"/>
        <w:numPr>
          <w:ilvl w:val="0"/>
          <w:numId w:val="1040"/>
        </w:numPr>
      </w:pPr>
      <w:r>
        <w:t xml:space="preserve">The</w:t>
      </w:r>
      <w:r>
        <w:t xml:space="preserve"> </w:t>
      </w:r>
      <w:r>
        <w:rPr>
          <w:rStyle w:val="Fill-in"/>
        </w:rPr>
        <w:t xml:space="preserve">[System owner]</w:t>
      </w:r>
      <w:r>
        <w:t xml:space="preserve"> </w:t>
      </w:r>
      <w:r>
        <w:t xml:space="preserve">shall protect wireless access to the system using authentication of</w:t>
      </w:r>
      <w:r>
        <w:t xml:space="preserve"> </w:t>
      </w:r>
      <w:r>
        <w:rPr>
          <w:rStyle w:val="Fill-in"/>
        </w:rPr>
        <w:t xml:space="preserve">[Select one or more: users; devices. Typical: users and devices]</w:t>
      </w:r>
      <w:r>
        <w:t xml:space="preserve"> </w:t>
      </w:r>
      <w:r>
        <w:t xml:space="preserve">and encryption. (AC-18(1))</w:t>
      </w:r>
    </w:p>
    <w:bookmarkEnd w:id="62"/>
    <w:bookmarkStart w:id="63" w:name="disable-wireless-networking-ac-183"/>
    <w:p>
      <w:pPr>
        <w:pStyle w:val="Heading4"/>
      </w:pPr>
      <w:r>
        <w:t xml:space="preserve">Disable wireless networking (AC-18(3))</w:t>
      </w:r>
    </w:p>
    <w:p>
      <w:pPr>
        <w:pStyle w:val="Compact"/>
        <w:numPr>
          <w:ilvl w:val="0"/>
          <w:numId w:val="1041"/>
        </w:numPr>
      </w:pPr>
      <w:r>
        <w:t xml:space="preserve">The</w:t>
      </w:r>
      <w:r>
        <w:t xml:space="preserve"> </w:t>
      </w:r>
      <w:r>
        <w:rPr>
          <w:rStyle w:val="Fill-in"/>
        </w:rPr>
        <w:t xml:space="preserve">[System owner]</w:t>
      </w:r>
      <w:r>
        <w:t xml:space="preserve"> </w:t>
      </w:r>
      <w:r>
        <w:t xml:space="preserve">shall ensure wireless networking capabilities embedded in system components are disabled before issuance and deployment when not intended for use. (AC-18(3))</w:t>
      </w:r>
    </w:p>
    <w:bookmarkEnd w:id="63"/>
    <w:bookmarkStart w:id="64" w:name="restrict-configurations-by-users-ac-184"/>
    <w:p>
      <w:pPr>
        <w:pStyle w:val="Heading4"/>
      </w:pPr>
      <w:r>
        <w:t xml:space="preserve">Restrict configurations by users (AC-18(4))</w:t>
      </w:r>
    </w:p>
    <w:p>
      <w:pPr>
        <w:pStyle w:val="Compact"/>
        <w:numPr>
          <w:ilvl w:val="0"/>
          <w:numId w:val="1042"/>
        </w:numPr>
      </w:pPr>
      <w:r>
        <w:t xml:space="preserve">The</w:t>
      </w:r>
      <w:r>
        <w:t xml:space="preserve"> </w:t>
      </w:r>
      <w:r>
        <w:rPr>
          <w:rStyle w:val="Fill-in"/>
        </w:rPr>
        <w:t xml:space="preserve">[System owner]</w:t>
      </w:r>
      <w:r>
        <w:t xml:space="preserve"> </w:t>
      </w:r>
      <w:r>
        <w:t xml:space="preserve">shall identify and explicitly authorize the users allowed to independently configure wireless networking capabilities. (AC-18(4))</w:t>
      </w:r>
    </w:p>
    <w:bookmarkEnd w:id="64"/>
    <w:bookmarkStart w:id="65" w:name="X93910950adc4ddd00e1c2981c406c722efd2caa"/>
    <w:p>
      <w:pPr>
        <w:pStyle w:val="Heading4"/>
      </w:pPr>
      <w:r>
        <w:t xml:space="preserve">Antennas and transmission power levels (AC-18(5))</w:t>
      </w:r>
    </w:p>
    <w:p>
      <w:pPr>
        <w:pStyle w:val="Compact"/>
        <w:numPr>
          <w:ilvl w:val="0"/>
          <w:numId w:val="1043"/>
        </w:numPr>
      </w:pPr>
      <w:r>
        <w:t xml:space="preserve">The</w:t>
      </w:r>
      <w:r>
        <w:t xml:space="preserve"> </w:t>
      </w:r>
      <w:r>
        <w:rPr>
          <w:rStyle w:val="Fill-in"/>
        </w:rPr>
        <w:t xml:space="preserve">[System owner]</w:t>
      </w:r>
      <w:r>
        <w:t xml:space="preserve"> </w:t>
      </w:r>
      <w:r>
        <w:t xml:space="preserve">shall select radio antennas and calibrate transmission power levels to reduce the probability that signals from wireless access points can be received outside organization-controlled boundaries. (AC-18(5))</w:t>
      </w:r>
    </w:p>
    <w:bookmarkEnd w:id="65"/>
    <w:bookmarkStart w:id="66" w:name="access-control-for-mobile-devices-ac-19"/>
    <w:p>
      <w:pPr>
        <w:pStyle w:val="Heading4"/>
      </w:pPr>
      <w:r>
        <w:t xml:space="preserve">Access control for mobile devices (AC-19)</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44"/>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66"/>
    <w:bookmarkStart w:id="67" w:name="X5ad2dbd70a38ca034168fcb15a1c94f93339806"/>
    <w:p>
      <w:pPr>
        <w:pStyle w:val="Heading4"/>
      </w:pPr>
      <w:r>
        <w:t xml:space="preserve">Full device or container-based encryption (AC-19(5))</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require</w:t>
      </w:r>
      <w:r>
        <w:t xml:space="preserve"> </w:t>
      </w:r>
      <w:r>
        <w:rPr>
          <w:rStyle w:val="Fill-in"/>
        </w:rPr>
        <w:t xml:space="preserve">[Select one: full-device encryption; container-based encryption. Typical: full-device encryption]</w:t>
      </w:r>
      <w:r>
        <w:t xml:space="preserve"> </w:t>
      </w:r>
      <w:r>
        <w:t xml:space="preserve">to protect the confidentiality and integrity of information on</w:t>
      </w:r>
      <w:r>
        <w:t xml:space="preserve"> </w:t>
      </w:r>
      <w:r>
        <w:rPr>
          <w:rStyle w:val="Fill-in"/>
        </w:rPr>
        <w:t xml:space="preserve">[Fill in: mobile devices on which to employ encryption. Typical: all organization-controlled mobile devices]</w:t>
      </w:r>
      <w:r>
        <w:t xml:space="preserve">. (AC-19(5))</w:t>
      </w:r>
    </w:p>
    <w:bookmarkEnd w:id="67"/>
    <w:bookmarkStart w:id="68" w:name="use-of-external-systems-ac-20"/>
    <w:p>
      <w:pPr>
        <w:pStyle w:val="Heading4"/>
      </w:pPr>
      <w:r>
        <w:t xml:space="preserve">Use of external systems (AC-20)</w:t>
      </w:r>
    </w:p>
    <w:p>
      <w:pPr>
        <w:pStyle w:val="Compact"/>
        <w:numPr>
          <w:ilvl w:val="0"/>
          <w:numId w:val="1046"/>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46"/>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68"/>
    <w:bookmarkStart w:id="69" w:name="limits-on-authorized-use-ac-201"/>
    <w:p>
      <w:pPr>
        <w:pStyle w:val="Heading4"/>
      </w:pPr>
      <w:r>
        <w:t xml:space="preserve">Limits on authorized use (AC-20(1))</w:t>
      </w:r>
    </w:p>
    <w:p>
      <w:pPr>
        <w:pStyle w:val="Compact"/>
        <w:numPr>
          <w:ilvl w:val="0"/>
          <w:numId w:val="1047"/>
        </w:numPr>
      </w:pPr>
      <w:r>
        <w:t xml:space="preserve">The</w:t>
      </w:r>
      <w:r>
        <w:t xml:space="preserve"> </w:t>
      </w:r>
      <w:r>
        <w:rPr>
          <w:rStyle w:val="Fill-in"/>
        </w:rPr>
        <w:t xml:space="preserve">[System owner]</w:t>
      </w:r>
      <w:r>
        <w:t xml:space="preserve"> </w:t>
      </w:r>
      <w:r>
        <w:t xml:space="preserve">shall permit authorized individuals to use an external system to access the system, or to process, store or transmit organization-controlled information, only after the controls on the external system are verified against the organization’s policies and plans, or an approved connection or processing agreement is in place with its owner. (AC-20(1))</w:t>
      </w:r>
    </w:p>
    <w:bookmarkEnd w:id="69"/>
    <w:bookmarkStart w:id="70" w:name="X829de09aaf987221c1adc04d372ad6f2fa8afb0"/>
    <w:p>
      <w:pPr>
        <w:pStyle w:val="Heading4"/>
      </w:pPr>
      <w:r>
        <w:t xml:space="preserve">Portable storage devices: restricted use (AC-20(2))</w:t>
      </w:r>
    </w:p>
    <w:p>
      <w:pPr>
        <w:pStyle w:val="Compact"/>
        <w:numPr>
          <w:ilvl w:val="0"/>
          <w:numId w:val="1048"/>
        </w:numPr>
      </w:pPr>
      <w:r>
        <w:t xml:space="preserve">Authorized individuals shall use organization-controlled portable storage devices on external systems only under</w:t>
      </w:r>
      <w:r>
        <w:t xml:space="preserve"> </w:t>
      </w:r>
      <w:r>
        <w:rPr>
          <w:rStyle w:val="Fill-in"/>
        </w:rPr>
        <w:t xml:space="preserve">[Fill in: restrictions on the use of organization-controlled portable storage devices by authorized individuals on external systems. Typical: use only of encrypted, organization-issued devices, and only for approved business purposes]</w:t>
      </w:r>
      <w:r>
        <w:t xml:space="preserve">. (AC-20(2))</w:t>
      </w:r>
    </w:p>
    <w:bookmarkEnd w:id="70"/>
    <w:bookmarkStart w:id="71" w:name="information-sharing-ac-21"/>
    <w:p>
      <w:pPr>
        <w:pStyle w:val="Heading4"/>
      </w:pPr>
      <w:r>
        <w:t xml:space="preserve">Information sharing (AC-21)</w:t>
      </w:r>
    </w:p>
    <w:p>
      <w:pPr>
        <w:pStyle w:val="Compact"/>
        <w:numPr>
          <w:ilvl w:val="0"/>
          <w:numId w:val="1049"/>
        </w:numPr>
      </w:pPr>
      <w:r>
        <w:t xml:space="preserve">The</w:t>
      </w:r>
      <w:r>
        <w:t xml:space="preserve"> </w:t>
      </w:r>
      <w:r>
        <w:rPr>
          <w:rStyle w:val="Fill-in"/>
        </w:rPr>
        <w:t xml:space="preserve">[System owner]</w:t>
      </w:r>
      <w:r>
        <w:t xml:space="preserve"> </w:t>
      </w:r>
      <w:r>
        <w:t xml:space="preserve">shall enable authorized users to determine whether the access authorizations of a sharing partner match the information’s access and use restrictions for</w:t>
      </w:r>
      <w:r>
        <w:t xml:space="preserve"> </w:t>
      </w:r>
      <w:r>
        <w:rPr>
          <w:rStyle w:val="Fill-in"/>
        </w:rPr>
        <w:t xml:space="preserve">[Fill in: information-sharing circumstances where user discretion is required to determine whether access authorizations assigned to a sharing partner match the information’s access and use restrictions. Typical: sharing sensitive or contract-restricted information with partners outside the organization]</w:t>
      </w:r>
      <w:r>
        <w:t xml:space="preserve">. (AC-21a)</w:t>
      </w:r>
    </w:p>
    <w:p>
      <w:pPr>
        <w:pStyle w:val="Compact"/>
        <w:numPr>
          <w:ilvl w:val="0"/>
          <w:numId w:val="1049"/>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automated mechanisms or manual processes that assist users in making information-sharing and collaboration decisions. Typical: information labels and a data-sharing checklist]</w:t>
      </w:r>
      <w:r>
        <w:t xml:space="preserve"> </w:t>
      </w:r>
      <w:r>
        <w:t xml:space="preserve">to assist users in making information sharing and collaboration decisions. (AC-21b)</w:t>
      </w:r>
    </w:p>
    <w:bookmarkEnd w:id="71"/>
    <w:bookmarkStart w:id="72" w:name="publicly-accessible-content-ac-22"/>
    <w:p>
      <w:pPr>
        <w:pStyle w:val="Heading4"/>
      </w:pPr>
      <w:r>
        <w:t xml:space="preserve">Publicly accessible content (AC-22)</w:t>
      </w:r>
    </w:p>
    <w:p>
      <w:pPr>
        <w:pStyle w:val="Compact"/>
        <w:numPr>
          <w:ilvl w:val="0"/>
          <w:numId w:val="1050"/>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50"/>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50"/>
        </w:numPr>
      </w:pPr>
      <w:r>
        <w:t xml:space="preserve">The designated individuals shall review proposed content for nonpublic information before posting it on the publicly accessible system. (AC-22c)</w:t>
      </w:r>
    </w:p>
    <w:p>
      <w:pPr>
        <w:pStyle w:val="Compact"/>
        <w:numPr>
          <w:ilvl w:val="0"/>
          <w:numId w:val="1050"/>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50"/>
        </w:numPr>
      </w:pPr>
      <w:r>
        <w:t xml:space="preserve">The designated individuals shall remove nonpublic information when a review discovers it. (AC-22d)</w:t>
      </w:r>
    </w:p>
    <w:bookmarkEnd w:id="72"/>
    <w:bookmarkEnd w:id="73"/>
    <w:bookmarkStart w:id="90" w:name="awareness-and-training-at"/>
    <w:p>
      <w:pPr>
        <w:pStyle w:val="Heading3"/>
      </w:pPr>
      <w:r>
        <w:t xml:space="preserve">Awareness and Training (AT)</w:t>
      </w:r>
    </w:p>
    <w:bookmarkStart w:id="79" w:name="literacy-training-and-awareness-at-2"/>
    <w:p>
      <w:pPr>
        <w:pStyle w:val="Heading4"/>
      </w:pPr>
      <w:r>
        <w:t xml:space="preserve">Literacy training and awareness (AT-2)</w:t>
      </w:r>
    </w:p>
    <w:p>
      <w:pPr>
        <w:pStyle w:val="Guidance"/>
      </w:pPr>
      <w:r>
        <w:t xml:space="preserve">Literacy training is the course every user takes; awareness is what keeps the message alive between courses. Assessors compare completion records with account creation dates, so require the initial course before access (AC-2) and track it for employees, contractors and executives alike. The</w:t>
      </w:r>
      <w:r>
        <w:t xml:space="preserve"> </w:t>
      </w:r>
      <w:hyperlink r:id="rId74">
        <w:r>
          <w:rPr>
            <w:rStyle w:val="Hyperlink"/>
          </w:rPr>
          <w:t xml:space="preserve">training plan</w:t>
        </w:r>
      </w:hyperlink>
      <w:r>
        <w:t xml:space="preserve"> </w:t>
      </w:r>
      <w:r>
        <w:t xml:space="preserve">sets out the courses and schedule.</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51"/>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51"/>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78" w:name="federal-systems-1"/>
    <w:p>
      <w:pPr>
        <w:pStyle w:val="Heading5"/>
      </w:pPr>
      <w:r>
        <w:t xml:space="preserve">Federal systems</w:t>
      </w:r>
    </w:p>
    <w:p>
      <w:pPr>
        <w:pStyle w:val="FirstParagraph"/>
      </w:pPr>
      <w:hyperlink r:id="rId75">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76">
        <w:r>
          <w:rPr>
            <w:rStyle w:val="Hyperlink"/>
          </w:rPr>
          <w:t xml:space="preserve">44 U.S.C. § 3554(b)(4)</w:t>
        </w:r>
      </w:hyperlink>
      <w:r>
        <w:t xml:space="preserve"> </w:t>
      </w:r>
      <w:r>
        <w:t xml:space="preserve">requires security awareness training for personnel, including contractors and other users.</w:t>
      </w:r>
      <w:r>
        <w:t xml:space="preserve"> </w:t>
      </w:r>
      <w:hyperlink r:id="rId77">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52"/>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78"/>
    <w:bookmarkEnd w:id="79"/>
    <w:bookmarkStart w:id="80" w:name="insider-threat-at-22"/>
    <w:p>
      <w:pPr>
        <w:pStyle w:val="Heading4"/>
      </w:pPr>
      <w:r>
        <w:t xml:space="preserve">Insider threat (AT-2(2))</w:t>
      </w:r>
    </w:p>
    <w:p>
      <w:pPr>
        <w:pStyle w:val="Guidance"/>
      </w:pPr>
      <w:r>
        <w:t xml:space="preserve">Teach users what potential insider threat indicators look like, such as attempts to get access beyond one’s job, unexplained removal of information, or ignoring security rules repeatedly, and where to report them. Keep the reporting channel the same one the insider threat program (PM-12) uses.</w:t>
      </w:r>
    </w:p>
    <w:p>
      <w:pPr>
        <w:pStyle w:val="Compact"/>
        <w:numPr>
          <w:ilvl w:val="0"/>
          <w:numId w:val="1053"/>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indicators of insider threat. (AT-2(2))</w:t>
      </w:r>
    </w:p>
    <w:bookmarkEnd w:id="80"/>
    <w:bookmarkStart w:id="81" w:name="social-engineering-and-mining-at-23"/>
    <w:p>
      <w:pPr>
        <w:pStyle w:val="Heading4"/>
      </w:pPr>
      <w:r>
        <w:t xml:space="preserve">Social engineering and mining (AT-2(3))</w:t>
      </w:r>
    </w:p>
    <w:p>
      <w:pPr>
        <w:pStyle w:val="Guidance"/>
      </w:pPr>
      <w:r>
        <w:t xml:space="preserve">Social engineering tricks people into giving up information or access, by email, phone, text or in person; social mining gathers information about the organization from public sources and social media to plan an attack. Phishing simulations (AT-2b) are a common way to practice recognizing it.</w:t>
      </w:r>
    </w:p>
    <w:p>
      <w:pPr>
        <w:pStyle w:val="Compact"/>
        <w:numPr>
          <w:ilvl w:val="0"/>
          <w:numId w:val="1054"/>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and actual instances of social engineering and social mining. (AT-2(3))</w:t>
      </w:r>
    </w:p>
    <w:bookmarkEnd w:id="81"/>
    <w:bookmarkStart w:id="85" w:name="role-based-training-at-3"/>
    <w:p>
      <w:pPr>
        <w:pStyle w:val="Heading4"/>
      </w:pPr>
      <w:r>
        <w:t xml:space="preserve">Role-based training (AT-3)</w:t>
      </w:r>
    </w:p>
    <w:p>
      <w:pPr>
        <w:pStyle w:val="Guidance"/>
      </w:pPr>
      <w:r>
        <w:t xml:space="preserve">Role-based training goes beyond what every user learns: administrators learn secure configuration, developers secure coding, authorizing officials how to weigh risk. List each role and its courses in the</w:t>
      </w:r>
      <w:r>
        <w:t xml:space="preserve"> </w:t>
      </w:r>
      <w:hyperlink r:id="rId74">
        <w:r>
          <w:rPr>
            <w:rStyle w:val="Hyperlink"/>
          </w:rPr>
          <w:t xml:space="preserve">training plan</w:t>
        </w:r>
      </w:hyperlink>
      <w:r>
        <w:t xml:space="preserve">. The NICE Workforce Framework for Cybersecurity (</w:t>
      </w:r>
      <w:hyperlink r:id="rId82">
        <w:r>
          <w:rPr>
            <w:rStyle w:val="Hyperlink"/>
          </w:rPr>
          <w:t xml:space="preserve">SP 800-181 Rev. 1</w:t>
        </w:r>
      </w:hyperlink>
      <w:r>
        <w:t xml:space="preserve">, with its</w:t>
      </w:r>
      <w:r>
        <w:t xml:space="preserve"> </w:t>
      </w:r>
      <w:hyperlink r:id="rId83">
        <w:r>
          <w:rPr>
            <w:rStyle w:val="Hyperlink"/>
          </w:rPr>
          <w:t xml:space="preserve">components</w:t>
        </w:r>
      </w:hyperlink>
      <w:r>
        <w:t xml:space="preserve"> </w:t>
      </w:r>
      <w:r>
        <w:t xml:space="preserve">at v2.2.0 as of September 2026) describes work roles and the knowledge and skills each needs, a useful starting point for the course list. Incident response training is covered by IR-2 and contingency training by CP-3.</w:t>
      </w:r>
    </w:p>
    <w:p>
      <w:pPr>
        <w:pStyle w:val="Compact"/>
        <w:numPr>
          <w:ilvl w:val="0"/>
          <w:numId w:val="1055"/>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55"/>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55"/>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55"/>
        </w:numPr>
      </w:pPr>
      <w:r>
        <w:t xml:space="preserve">Role-based training shall also be provided when system changes require it. (AT-3a.2)</w:t>
      </w:r>
    </w:p>
    <w:p>
      <w:pPr>
        <w:pStyle w:val="Compact"/>
        <w:numPr>
          <w:ilvl w:val="0"/>
          <w:numId w:val="105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5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84" w:name="federal-systems-2"/>
    <w:p>
      <w:pPr>
        <w:pStyle w:val="Heading5"/>
      </w:pPr>
      <w:r>
        <w:t xml:space="preserve">Federal systems</w:t>
      </w:r>
    </w:p>
    <w:p>
      <w:pPr>
        <w:pStyle w:val="FirstParagraph"/>
      </w:pPr>
      <w:hyperlink r:id="rId75">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77">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56"/>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56"/>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56"/>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84"/>
    <w:bookmarkEnd w:id="85"/>
    <w:bookmarkStart w:id="89" w:name="training-records-at-4"/>
    <w:p>
      <w:pPr>
        <w:pStyle w:val="Heading4"/>
      </w:pPr>
      <w:r>
        <w:t xml:space="preserve">Training records (AT-4)</w:t>
      </w:r>
    </w:p>
    <w:p>
      <w:pPr>
        <w:pStyle w:val="Guidance"/>
      </w:pPr>
      <w:r>
        <w:t xml:space="preserve">Keep records in the learning management system where possible, and in the</w:t>
      </w:r>
      <w:r>
        <w:t xml:space="preserve"> </w:t>
      </w:r>
      <w:hyperlink r:id="rId86">
        <w:r>
          <w:rPr>
            <w:rStyle w:val="Hyperlink"/>
          </w:rPr>
          <w:t xml:space="preserve">training record log</w:t>
        </w:r>
      </w:hyperlink>
      <w:r>
        <w:t xml:space="preserve"> </w:t>
      </w:r>
      <w:r>
        <w:t xml:space="preserve">for training given outside it. Monitoring means someone checks the records for overdue training and acts on it, not just that the records exist.</w:t>
      </w:r>
    </w:p>
    <w:p>
      <w:pPr>
        <w:pStyle w:val="Compact"/>
        <w:numPr>
          <w:ilvl w:val="0"/>
          <w:numId w:val="1057"/>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57"/>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57"/>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88" w:name="federal-systems-3"/>
    <w:p>
      <w:pPr>
        <w:pStyle w:val="Heading5"/>
      </w:pPr>
      <w:r>
        <w:t xml:space="preserve">Federal systems</w:t>
      </w:r>
    </w:p>
    <w:p>
      <w:pPr>
        <w:pStyle w:val="FirstParagraph"/>
      </w:pPr>
      <w:r>
        <w:t xml:space="preserve">The NARA</w:t>
      </w:r>
      <w:r>
        <w:t xml:space="preserve"> </w:t>
      </w:r>
      <w:hyperlink r:id="rId87">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58"/>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88"/>
    <w:bookmarkEnd w:id="89"/>
    <w:bookmarkEnd w:id="90"/>
    <w:bookmarkStart w:id="119" w:name="audit-and-accountability-au"/>
    <w:p>
      <w:pPr>
        <w:pStyle w:val="Heading3"/>
      </w:pPr>
      <w:r>
        <w:t xml:space="preserve">Audit and Accountability (AU)</w:t>
      </w:r>
    </w:p>
    <w:bookmarkStart w:id="92" w:name="event-logging-au-2"/>
    <w:p>
      <w:pPr>
        <w:pStyle w:val="Heading4"/>
      </w:pPr>
      <w:r>
        <w:t xml:space="preserve">Event logging (AU-2)</w:t>
      </w:r>
    </w:p>
    <w:p>
      <w:pPr>
        <w:pStyle w:val="Guidance"/>
      </w:pPr>
      <w:r>
        <w:t xml:space="preserve">AU-2 asks for two lists: every event type the system can log, and the subset you actually log, with a reason the subset is enough to investigate an incident. Keep both in the</w:t>
      </w:r>
      <w:r>
        <w:t xml:space="preserve"> </w:t>
      </w:r>
      <w:hyperlink r:id="rId91">
        <w:r>
          <w:rPr>
            <w:rStyle w:val="Hyperlink"/>
          </w:rPr>
          <w:t xml:space="preserve">audit logging standard</w:t>
        </w:r>
      </w:hyperlink>
      <w:r>
        <w:t xml:space="preserve"> </w:t>
      </w:r>
      <w:r>
        <w:t xml:space="preserve">so every system starts from the same list: section 3 holds the organization-wide list and Part B each system’s own. Assessors ask for the rationale (AU-2d) more often than any other item.</w:t>
      </w:r>
    </w:p>
    <w:p>
      <w:pPr>
        <w:pStyle w:val="Compact"/>
        <w:numPr>
          <w:ilvl w:val="0"/>
          <w:numId w:val="1059"/>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59"/>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59"/>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59"/>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59"/>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92"/>
    <w:bookmarkStart w:id="93" w:name="content-of-audit-records-au-3"/>
    <w:p>
      <w:pPr>
        <w:pStyle w:val="Heading4"/>
      </w:pPr>
      <w:r>
        <w:t xml:space="preserve">Content of audit records (AU-3)</w:t>
      </w:r>
    </w:p>
    <w:p>
      <w:pPr>
        <w:pStyle w:val="Compact"/>
        <w:numPr>
          <w:ilvl w:val="0"/>
          <w:numId w:val="1060"/>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93"/>
    <w:bookmarkStart w:id="94" w:name="additional-audit-information-au-31"/>
    <w:p>
      <w:pPr>
        <w:pStyle w:val="Heading4"/>
      </w:pPr>
      <w:r>
        <w:t xml:space="preserve">Additional audit information (AU-3(1))</w:t>
      </w:r>
    </w:p>
    <w:p>
      <w:pPr>
        <w:pStyle w:val="Compact"/>
        <w:numPr>
          <w:ilvl w:val="0"/>
          <w:numId w:val="1061"/>
        </w:numPr>
      </w:pPr>
      <w:r>
        <w:t xml:space="preserve">The</w:t>
      </w:r>
      <w:r>
        <w:t xml:space="preserve"> </w:t>
      </w:r>
      <w:r>
        <w:rPr>
          <w:rStyle w:val="Fill-in"/>
        </w:rPr>
        <w:t xml:space="preserve">[System owner]</w:t>
      </w:r>
      <w:r>
        <w:t xml:space="preserve"> </w:t>
      </w:r>
      <w:r>
        <w:t xml:space="preserve">shall ensure the system generates audit records that also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bookmarkEnd w:id="94"/>
    <w:bookmarkStart w:id="95" w:name="audit-log-storage-capacity-au-4"/>
    <w:p>
      <w:pPr>
        <w:pStyle w:val="Heading4"/>
      </w:pPr>
      <w:r>
        <w:t xml:space="preserve">Audit log storage capacity (AU-4)</w:t>
      </w:r>
    </w:p>
    <w:p>
      <w:pPr>
        <w:pStyle w:val="Compact"/>
        <w:numPr>
          <w:ilvl w:val="0"/>
          <w:numId w:val="1062"/>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95"/>
    <w:bookmarkStart w:id="96" w:name="X0c3d6e0ff501d0227ddf7f72c3b8ff903e18446"/>
    <w:p>
      <w:pPr>
        <w:pStyle w:val="Heading4"/>
      </w:pPr>
      <w:r>
        <w:t xml:space="preserve">Response to audit logging process failures (AU-5)</w:t>
      </w:r>
    </w:p>
    <w:p>
      <w:pPr>
        <w:pStyle w:val="Compact"/>
        <w:numPr>
          <w:ilvl w:val="0"/>
          <w:numId w:val="1063"/>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63"/>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96"/>
    <w:bookmarkStart w:id="97" w:name="storage-capacity-warning-au-51"/>
    <w:p>
      <w:pPr>
        <w:pStyle w:val="Heading4"/>
      </w:pPr>
      <w:r>
        <w:t xml:space="preserve">Storage capacity warning (AU-5(1))</w:t>
      </w:r>
    </w:p>
    <w:p>
      <w:pPr>
        <w:pStyle w:val="Compact"/>
        <w:numPr>
          <w:ilvl w:val="0"/>
          <w:numId w:val="1064"/>
        </w:numPr>
      </w:pPr>
      <w:r>
        <w:t xml:space="preserve">The</w:t>
      </w:r>
      <w:r>
        <w:t xml:space="preserve"> </w:t>
      </w:r>
      <w:r>
        <w:rPr>
          <w:rStyle w:val="Fill-in"/>
        </w:rPr>
        <w:t xml:space="preserve">[System owner]</w:t>
      </w:r>
      <w:r>
        <w:t xml:space="preserve"> </w:t>
      </w:r>
      <w:r>
        <w:t xml:space="preserve">shall ensure the system warns</w:t>
      </w:r>
      <w:r>
        <w:t xml:space="preserve"> </w:t>
      </w:r>
      <w:r>
        <w:rPr>
          <w:rStyle w:val="Fill-in"/>
        </w:rPr>
        <w:t xml:space="preserve">[Fill in: personnel, roles, and/or locations to be warned when allocated audit log storage volume reaches a percentage of repository maximum audit log storage capacity. Typical: the system administrators and the security operations team]</w:t>
      </w:r>
      <w:r>
        <w:t xml:space="preserve"> </w:t>
      </w:r>
      <w:r>
        <w:t xml:space="preserve">within</w:t>
      </w:r>
      <w:r>
        <w:t xml:space="preserve"> </w:t>
      </w:r>
      <w:r>
        <w:rPr>
          <w:rStyle w:val="Fill-in"/>
        </w:rPr>
        <w:t xml:space="preserve">[Fill in: time period for defined personnel, roles, and/or locations to be warned when allocated audit log storage volume reaches a percentage of repository maximum audit log storage capacity. Typical: 1 hour]</w:t>
      </w:r>
      <w:r>
        <w:t xml:space="preserve"> </w:t>
      </w:r>
      <w:r>
        <w:t xml:space="preserve">when allocated audit log storage reaches</w:t>
      </w:r>
      <w:r>
        <w:t xml:space="preserve"> </w:t>
      </w:r>
      <w:r>
        <w:rPr>
          <w:rStyle w:val="Fill-in"/>
        </w:rPr>
        <w:t xml:space="preserve">[Fill in: percentage of repository maximum audit log storage capacity. Typical: 75 percent]</w:t>
      </w:r>
      <w:r>
        <w:t xml:space="preserve"> </w:t>
      </w:r>
      <w:r>
        <w:t xml:space="preserve">of the repository’s maximum capacity. (AU-5(1))</w:t>
      </w:r>
    </w:p>
    <w:bookmarkEnd w:id="97"/>
    <w:bookmarkStart w:id="98" w:name="real-time-alerts-au-52"/>
    <w:p>
      <w:pPr>
        <w:pStyle w:val="Heading4"/>
      </w:pPr>
      <w:r>
        <w:t xml:space="preserve">Real-time alerts (AU-5(2))</w:t>
      </w:r>
    </w:p>
    <w:p>
      <w:pPr>
        <w:pStyle w:val="Compact"/>
        <w:numPr>
          <w:ilvl w:val="0"/>
          <w:numId w:val="1065"/>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roles, and/or locations to be alerted in real time when audit failure events occur. Typical: the security operations team]</w:t>
      </w:r>
      <w:r>
        <w:t xml:space="preserve"> </w:t>
      </w:r>
      <w:r>
        <w:t xml:space="preserve">within</w:t>
      </w:r>
      <w:r>
        <w:t xml:space="preserve"> </w:t>
      </w:r>
      <w:r>
        <w:rPr>
          <w:rStyle w:val="Fill-in"/>
        </w:rPr>
        <w:t xml:space="preserve">[Fill in: real-time period requiring alerts when audit failure events occur. Typical: 15 minutes]</w:t>
      </w:r>
      <w:r>
        <w:t xml:space="preserve"> </w:t>
      </w:r>
      <w:r>
        <w:t xml:space="preserve">when any of these audit failure events occur:</w:t>
      </w:r>
      <w:r>
        <w:t xml:space="preserve"> </w:t>
      </w:r>
      <w:r>
        <w:rPr>
          <w:rStyle w:val="Fill-in"/>
        </w:rPr>
        <w:t xml:space="preserve">[Fill in: audit logging failure events requiring real-time alerts. Typical: loss of log forwarding from any component, and failure of the central log repository]</w:t>
      </w:r>
      <w:r>
        <w:t xml:space="preserve">. (AU-5(2))</w:t>
      </w:r>
    </w:p>
    <w:bookmarkEnd w:id="98"/>
    <w:bookmarkStart w:id="100" w:name="X937e91f9c44195ea7a0333189012736b1eb96cb"/>
    <w:p>
      <w:pPr>
        <w:pStyle w:val="Heading4"/>
      </w:pPr>
      <w:r>
        <w:t xml:space="preserve">Audit record review, analysis and reporting (AU-6)</w:t>
      </w:r>
    </w:p>
    <w:p>
      <w:pPr>
        <w:pStyle w:val="Guidance"/>
      </w:pPr>
      <w:r>
        <w:t xml:space="preserve">Most findings under AU-6 are about evidence, not effort: the review happened but left no record. Keep a dated record of each review with what was looked at, what was found and who it was reported to. The</w:t>
      </w:r>
      <w:r>
        <w:t xml:space="preserve"> </w:t>
      </w:r>
      <w:hyperlink r:id="rId99">
        <w:r>
          <w:rPr>
            <w:rStyle w:val="Hyperlink"/>
          </w:rPr>
          <w:t xml:space="preserve">log review procedure</w:t>
        </w:r>
      </w:hyperlink>
      <w:r>
        <w:t xml:space="preserve"> </w:t>
      </w:r>
      <w:r>
        <w:t xml:space="preserve">lists the activity the review looks for in its section 3 and names the record each step leaves.</w:t>
      </w:r>
    </w:p>
    <w:p>
      <w:pPr>
        <w:pStyle w:val="Compact"/>
        <w:numPr>
          <w:ilvl w:val="0"/>
          <w:numId w:val="1066"/>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66"/>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66"/>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100"/>
    <w:bookmarkStart w:id="101" w:name="automated-process-integration-au-61"/>
    <w:p>
      <w:pPr>
        <w:pStyle w:val="Heading4"/>
      </w:pPr>
      <w:r>
        <w:t xml:space="preserve">Automated process integration (AU-6(1))</w:t>
      </w:r>
    </w:p>
    <w:p>
      <w:pPr>
        <w:pStyle w:val="Compact"/>
        <w:numPr>
          <w:ilvl w:val="0"/>
          <w:numId w:val="1067"/>
        </w:numPr>
      </w:pPr>
      <w:r>
        <w:t xml:space="preserve">The</w:t>
      </w:r>
      <w:r>
        <w:t xml:space="preserve"> </w:t>
      </w:r>
      <w:r>
        <w:rPr>
          <w:rStyle w:val="Fill-in"/>
        </w:rPr>
        <w:t xml:space="preserve">[Security operations team]</w:t>
      </w:r>
      <w:r>
        <w:t xml:space="preserve"> </w:t>
      </w:r>
      <w:r>
        <w:t xml:space="preserve">shall integrate audit record review, analysis and reporting processes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(AU-6(1))</w:t>
      </w:r>
    </w:p>
    <w:bookmarkEnd w:id="101"/>
    <w:bookmarkStart w:id="102" w:name="X1effe56ae23e5b3498808f260a11792f27bea77"/>
    <w:p>
      <w:pPr>
        <w:pStyle w:val="Heading4"/>
      </w:pPr>
      <w:r>
        <w:t xml:space="preserve">Correlate audit record repositories (AU-6(3))</w:t>
      </w:r>
    </w:p>
    <w:p>
      <w:pPr>
        <w:pStyle w:val="Compact"/>
        <w:numPr>
          <w:ilvl w:val="0"/>
          <w:numId w:val="1068"/>
        </w:numPr>
      </w:pPr>
      <w:r>
        <w:t xml:space="preserve">The</w:t>
      </w:r>
      <w:r>
        <w:t xml:space="preserve"> </w:t>
      </w:r>
      <w:r>
        <w:rPr>
          <w:rStyle w:val="Fill-in"/>
        </w:rPr>
        <w:t xml:space="preserve">[Security operations team]</w:t>
      </w:r>
      <w:r>
        <w:t xml:space="preserve"> </w:t>
      </w:r>
      <w:r>
        <w:t xml:space="preserve">shall analyze and correlate audit records across repositories to gain organization-wide situational awareness. (AU-6(3))</w:t>
      </w:r>
    </w:p>
    <w:bookmarkEnd w:id="102"/>
    <w:bookmarkStart w:id="103" w:name="X6d982ff7634f5b00f3875700c054582d1a51975"/>
    <w:p>
      <w:pPr>
        <w:pStyle w:val="Heading4"/>
      </w:pPr>
      <w:r>
        <w:t xml:space="preserve">Integrated analysis of audit records (AU-6(5))</w:t>
      </w:r>
    </w:p>
    <w:p>
      <w:pPr>
        <w:pStyle w:val="Compact"/>
        <w:numPr>
          <w:ilvl w:val="0"/>
          <w:numId w:val="1069"/>
        </w:numPr>
      </w:pPr>
      <w:r>
        <w:t xml:space="preserve">The</w:t>
      </w:r>
      <w:r>
        <w:t xml:space="preserve"> </w:t>
      </w:r>
      <w:r>
        <w:rPr>
          <w:rStyle w:val="Fill-in"/>
        </w:rPr>
        <w:t xml:space="preserve">[Security operations team]</w:t>
      </w:r>
      <w:r>
        <w:t xml:space="preserve"> </w:t>
      </w:r>
      <w:r>
        <w:t xml:space="preserve">shall integrate analysis of audit records with analysis of</w:t>
      </w:r>
      <w:r>
        <w:t xml:space="preserve"> </w:t>
      </w:r>
      <w:r>
        <w:rPr>
          <w:rStyle w:val="Fill-in"/>
        </w:rPr>
        <w:t xml:space="preserve">[Select one or more: vulnerability scanning information; performance data; system monitoring information; [Assignment: organization-defined data/information collected from other sources]. Typical: vulnerability scanning information and system monitoring information]</w:t>
      </w:r>
      <w:r>
        <w:t xml:space="preserve"> </w:t>
      </w:r>
      <w:r>
        <w:t xml:space="preserve">to improve the identification of inappropriate or unusual activity. (AU-6(5))</w:t>
      </w:r>
    </w:p>
    <w:bookmarkEnd w:id="103"/>
    <w:bookmarkStart w:id="104" w:name="Xec7ed5b2e2227589c03cfabc4a7dccef8863845"/>
    <w:p>
      <w:pPr>
        <w:pStyle w:val="Heading4"/>
      </w:pPr>
      <w:r>
        <w:t xml:space="preserve">Correlation with physical monitoring (AU-6(6))</w:t>
      </w:r>
    </w:p>
    <w:p>
      <w:pPr>
        <w:pStyle w:val="Compact"/>
        <w:numPr>
          <w:ilvl w:val="0"/>
          <w:numId w:val="1070"/>
        </w:numPr>
      </w:pPr>
      <w:r>
        <w:t xml:space="preserve">The</w:t>
      </w:r>
      <w:r>
        <w:t xml:space="preserve"> </w:t>
      </w:r>
      <w:r>
        <w:rPr>
          <w:rStyle w:val="Fill-in"/>
        </w:rPr>
        <w:t xml:space="preserve">[Security operations team]</w:t>
      </w:r>
      <w:r>
        <w:t xml:space="preserve"> </w:t>
      </w:r>
      <w:r>
        <w:t xml:space="preserve">shall correlate information from audit records with information from physical access monitoring to identify suspicious, inappropriate, unusual or malevolent activity. (AU-6(6))</w:t>
      </w:r>
    </w:p>
    <w:bookmarkEnd w:id="104"/>
    <w:bookmarkStart w:id="105" w:name="X21d2c0a901498daf90cd3097cf196dc061f294b"/>
    <w:p>
      <w:pPr>
        <w:pStyle w:val="Heading4"/>
      </w:pPr>
      <w:r>
        <w:t xml:space="preserve">Audit record reduction and report generation (AU-7)</w:t>
      </w:r>
    </w:p>
    <w:p>
      <w:pPr>
        <w:pStyle w:val="Compact"/>
        <w:numPr>
          <w:ilvl w:val="0"/>
          <w:numId w:val="1071"/>
        </w:numPr>
      </w:pPr>
      <w:r>
        <w:t xml:space="preserve">The</w:t>
      </w:r>
      <w:r>
        <w:t xml:space="preserve"> </w:t>
      </w:r>
      <w:r>
        <w:rPr>
          <w:rStyle w:val="Fill-in"/>
        </w:rPr>
        <w:t xml:space="preserve">[System owner]</w:t>
      </w:r>
      <w:r>
        <w:t xml:space="preserve"> </w:t>
      </w:r>
      <w:r>
        <w:t xml:space="preserve">shall provide and implement an audit record reduction and report generation capability that supports on-demand review, analysis and reporting and after-the-fact investigation of incidents. (AU-7a)</w:t>
      </w:r>
    </w:p>
    <w:p>
      <w:pPr>
        <w:pStyle w:val="Compact"/>
        <w:numPr>
          <w:ilvl w:val="0"/>
          <w:numId w:val="1071"/>
        </w:numPr>
      </w:pPr>
      <w:r>
        <w:t xml:space="preserve">The</w:t>
      </w:r>
      <w:r>
        <w:t xml:space="preserve"> </w:t>
      </w:r>
      <w:r>
        <w:rPr>
          <w:rStyle w:val="Fill-in"/>
        </w:rPr>
        <w:t xml:space="preserve">[System owner]</w:t>
      </w:r>
      <w:r>
        <w:t xml:space="preserve"> </w:t>
      </w:r>
      <w:r>
        <w:t xml:space="preserve">shall ensure that capability does not alter the original content or time ordering of audit records. (AU-7b)</w:t>
      </w:r>
    </w:p>
    <w:bookmarkEnd w:id="105"/>
    <w:bookmarkStart w:id="106" w:name="automatic-processing-au-71"/>
    <w:p>
      <w:pPr>
        <w:pStyle w:val="Heading4"/>
      </w:pPr>
      <w:r>
        <w:t xml:space="preserve">Automatic processing (AU-7(1))</w:t>
      </w:r>
    </w:p>
    <w:p>
      <w:pPr>
        <w:pStyle w:val="Compact"/>
        <w:numPr>
          <w:ilvl w:val="0"/>
          <w:numId w:val="1072"/>
        </w:numPr>
      </w:pPr>
      <w:r>
        <w:t xml:space="preserve">The</w:t>
      </w:r>
      <w:r>
        <w:t xml:space="preserve"> </w:t>
      </w:r>
      <w:r>
        <w:rPr>
          <w:rStyle w:val="Fill-in"/>
        </w:rPr>
        <w:t xml:space="preserve">[System owner]</w:t>
      </w:r>
      <w:r>
        <w:t xml:space="preserve"> </w:t>
      </w:r>
      <w:r>
        <w:t xml:space="preserve">shall provide and implement the capability to process, sort and search audit records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(AU-7(1))</w:t>
      </w:r>
    </w:p>
    <w:bookmarkEnd w:id="106"/>
    <w:bookmarkStart w:id="107" w:name="time-stamps-au-8"/>
    <w:p>
      <w:pPr>
        <w:pStyle w:val="Heading4"/>
      </w:pPr>
      <w:r>
        <w:t xml:space="preserve">Time stamps (AU-8)</w:t>
      </w:r>
    </w:p>
    <w:p>
      <w:pPr>
        <w:pStyle w:val="Compact"/>
        <w:numPr>
          <w:ilvl w:val="0"/>
          <w:numId w:val="1073"/>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73"/>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107"/>
    <w:bookmarkStart w:id="108" w:name="protection-of-audit-information-au-9"/>
    <w:p>
      <w:pPr>
        <w:pStyle w:val="Heading4"/>
      </w:pPr>
      <w:r>
        <w:t xml:space="preserve">Protection of audit information (AU-9)</w:t>
      </w:r>
    </w:p>
    <w:p>
      <w:pPr>
        <w:pStyle w:val="Compact"/>
        <w:numPr>
          <w:ilvl w:val="0"/>
          <w:numId w:val="1074"/>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74"/>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108"/>
    <w:bookmarkStart w:id="109" w:name="X01abdaea8e8fcece1789c6cba419bd148117116"/>
    <w:p>
      <w:pPr>
        <w:pStyle w:val="Heading4"/>
      </w:pPr>
      <w:r>
        <w:t xml:space="preserve">Store on separate physical systems or components (AU-9(2))</w:t>
      </w:r>
    </w:p>
    <w:p>
      <w:pPr>
        <w:pStyle w:val="Compact"/>
        <w:numPr>
          <w:ilvl w:val="0"/>
          <w:numId w:val="1075"/>
        </w:numPr>
      </w:pPr>
      <w:r>
        <w:t xml:space="preserve">The</w:t>
      </w:r>
      <w:r>
        <w:t xml:space="preserve"> </w:t>
      </w:r>
      <w:r>
        <w:rPr>
          <w:rStyle w:val="Fill-in"/>
        </w:rPr>
        <w:t xml:space="preserve">[System owner]</w:t>
      </w:r>
      <w:r>
        <w:t xml:space="preserve"> </w:t>
      </w:r>
      <w:r>
        <w:t xml:space="preserve">shall ensure audit records are stored</w:t>
      </w:r>
      <w:r>
        <w:t xml:space="preserve"> </w:t>
      </w:r>
      <w:r>
        <w:rPr>
          <w:rStyle w:val="Fill-in"/>
        </w:rPr>
        <w:t xml:space="preserve">[Fill in: the frequency of storing audit records in a repository. Typical: in near real time]</w:t>
      </w:r>
      <w:r>
        <w:t xml:space="preserve"> </w:t>
      </w:r>
      <w:r>
        <w:t xml:space="preserve">in a repository on a physically different system or component than the one being audited. (AU-9(2))</w:t>
      </w:r>
    </w:p>
    <w:bookmarkEnd w:id="109"/>
    <w:bookmarkStart w:id="110" w:name="X4c85aed3d2d1458dea304c971756991a85b63c4"/>
    <w:p>
      <w:pPr>
        <w:pStyle w:val="Heading4"/>
      </w:pPr>
      <w:r>
        <w:t xml:space="preserve">Cryptographic protection of audit information (AU-9(3))</w:t>
      </w:r>
    </w:p>
    <w:p>
      <w:pPr>
        <w:pStyle w:val="Compact"/>
        <w:numPr>
          <w:ilvl w:val="0"/>
          <w:numId w:val="1076"/>
        </w:numPr>
      </w:pPr>
      <w:r>
        <w:t xml:space="preserve">The</w:t>
      </w:r>
      <w:r>
        <w:t xml:space="preserve"> </w:t>
      </w:r>
      <w:r>
        <w:rPr>
          <w:rStyle w:val="Fill-in"/>
        </w:rPr>
        <w:t xml:space="preserve">[System owner]</w:t>
      </w:r>
      <w:r>
        <w:t xml:space="preserve"> </w:t>
      </w:r>
      <w:r>
        <w:t xml:space="preserve">shall ensure cryptographic mechanisms protect the integrity of audit information and audit tools. (AU-9(3))</w:t>
      </w:r>
    </w:p>
    <w:bookmarkEnd w:id="110"/>
    <w:bookmarkStart w:id="111" w:name="X0baaef2f05535a9bb13d04d730e2e74635dc82c"/>
    <w:p>
      <w:pPr>
        <w:pStyle w:val="Heading4"/>
      </w:pPr>
      <w:r>
        <w:t xml:space="preserve">Access by subset of privileged users (AU-9(4))</w:t>
      </w:r>
    </w:p>
    <w:p>
      <w:pPr>
        <w:pStyle w:val="Compact"/>
        <w:numPr>
          <w:ilvl w:val="0"/>
          <w:numId w:val="1077"/>
        </w:numPr>
      </w:pPr>
      <w:r>
        <w:t xml:space="preserve">The</w:t>
      </w:r>
      <w:r>
        <w:t xml:space="preserve"> </w:t>
      </w:r>
      <w:r>
        <w:rPr>
          <w:rStyle w:val="Fill-in"/>
        </w:rPr>
        <w:t xml:space="preserve">[System owner]</w:t>
      </w:r>
      <w:r>
        <w:t xml:space="preserve"> </w:t>
      </w:r>
      <w:r>
        <w:t xml:space="preserve">shall authorize access to management of audit logging functionality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bookmarkEnd w:id="111"/>
    <w:bookmarkStart w:id="112" w:name="non-repudiation-au-10"/>
    <w:p>
      <w:pPr>
        <w:pStyle w:val="Heading4"/>
      </w:pPr>
      <w:r>
        <w:t xml:space="preserve">Non-repudiation (AU-10)</w:t>
      </w:r>
    </w:p>
    <w:p>
      <w:pPr>
        <w:pStyle w:val="Compact"/>
        <w:numPr>
          <w:ilvl w:val="0"/>
          <w:numId w:val="1078"/>
        </w:numPr>
      </w:pPr>
      <w:r>
        <w:t xml:space="preserve">The</w:t>
      </w:r>
      <w:r>
        <w:t xml:space="preserve"> </w:t>
      </w:r>
      <w:r>
        <w:rPr>
          <w:rStyle w:val="Fill-in"/>
        </w:rPr>
        <w:t xml:space="preserve">[System owner]</w:t>
      </w:r>
      <w:r>
        <w:t xml:space="preserve"> </w:t>
      </w:r>
      <w:r>
        <w:t xml:space="preserve">shall ensure the system provides irrefutable evidence that an individual, or a process acting on behalf of an individual, has performed</w:t>
      </w:r>
      <w:r>
        <w:t xml:space="preserve"> </w:t>
      </w:r>
      <w:r>
        <w:rPr>
          <w:rStyle w:val="Fill-in"/>
        </w:rPr>
        <w:t xml:space="preserve">[Fill in: actions to be covered by non-repudiation. Typical: approving access and changes, signing records, and administering security settings]</w:t>
      </w:r>
      <w:r>
        <w:t xml:space="preserve">. (AU-10)</w:t>
      </w:r>
    </w:p>
    <w:bookmarkEnd w:id="112"/>
    <w:bookmarkStart w:id="115" w:name="audit-record-retention-au-11"/>
    <w:p>
      <w:pPr>
        <w:pStyle w:val="Heading4"/>
      </w:pPr>
      <w:r>
        <w:t xml:space="preserve">Audit record retention (AU-11)</w:t>
      </w:r>
    </w:p>
    <w:p>
      <w:pPr>
        <w:pStyle w:val="Compact"/>
        <w:numPr>
          <w:ilvl w:val="0"/>
          <w:numId w:val="1079"/>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114" w:name="federal-systems-4"/>
    <w:p>
      <w:pPr>
        <w:pStyle w:val="Heading5"/>
      </w:pPr>
      <w:r>
        <w:t xml:space="preserve">Federal systems</w:t>
      </w:r>
    </w:p>
    <w:p>
      <w:pPr>
        <w:pStyle w:val="FirstParagraph"/>
      </w:pPr>
      <w:hyperlink r:id="rId113">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80"/>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114"/>
    <w:bookmarkEnd w:id="115"/>
    <w:bookmarkStart w:id="116" w:name="audit-record-generation-au-12"/>
    <w:p>
      <w:pPr>
        <w:pStyle w:val="Heading4"/>
      </w:pPr>
      <w:r>
        <w:t xml:space="preserve">Audit record generation (AU-12)</w:t>
      </w:r>
    </w:p>
    <w:p>
      <w:pPr>
        <w:pStyle w:val="Compact"/>
        <w:numPr>
          <w:ilvl w:val="0"/>
          <w:numId w:val="1081"/>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81"/>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81"/>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116"/>
    <w:bookmarkStart w:id="117" w:name="Xf7159e294f8432f5907814bb1ad51c12b7631cb"/>
    <w:p>
      <w:pPr>
        <w:pStyle w:val="Heading4"/>
      </w:pPr>
      <w:r>
        <w:t xml:space="preserve">System-wide and time-correlated audit trail (AU-12(1))</w:t>
      </w:r>
    </w:p>
    <w:p>
      <w:pPr>
        <w:pStyle w:val="Compact"/>
        <w:numPr>
          <w:ilvl w:val="0"/>
          <w:numId w:val="1082"/>
        </w:numPr>
      </w:pPr>
      <w:r>
        <w:t xml:space="preserve">The</w:t>
      </w:r>
      <w:r>
        <w:t xml:space="preserve"> </w:t>
      </w:r>
      <w:r>
        <w:rPr>
          <w:rStyle w:val="Fill-in"/>
        </w:rPr>
        <w:t xml:space="preserve">[System owner]</w:t>
      </w:r>
      <w:r>
        <w:t xml:space="preserve"> </w:t>
      </w:r>
      <w:r>
        <w:t xml:space="preserve">shall compile audit records from</w:t>
      </w:r>
      <w:r>
        <w:t xml:space="preserve"> </w:t>
      </w:r>
      <w:r>
        <w:rPr>
          <w:rStyle w:val="Fill-in"/>
        </w:rPr>
        <w:t xml:space="preserve">[Fill in: system components from which audit records are to be compiled into a system-wide (logical or physical) audit trail. Typical: all components that generate audit records]</w:t>
      </w:r>
      <w:r>
        <w:t xml:space="preserve"> </w:t>
      </w:r>
      <w:r>
        <w:t xml:space="preserve">into a system-wide audit trail that is time-correlated to within</w:t>
      </w:r>
      <w:r>
        <w:t xml:space="preserve"> </w:t>
      </w:r>
      <w:r>
        <w:rPr>
          <w:rStyle w:val="Fill-in"/>
        </w:rPr>
        <w:t xml:space="preserve">[Fill in: level of tolerance for the relationship between timestamps of individual records in the audit trail. Typical: one second]</w:t>
      </w:r>
      <w:r>
        <w:t xml:space="preserve">. (AU-12(1))</w:t>
      </w:r>
    </w:p>
    <w:bookmarkEnd w:id="117"/>
    <w:bookmarkStart w:id="118" w:name="changes-by-authorized-individuals-au-123"/>
    <w:p>
      <w:pPr>
        <w:pStyle w:val="Heading4"/>
      </w:pPr>
      <w:r>
        <w:t xml:space="preserve">Changes by authorized individuals (AU-12(3))</w:t>
      </w:r>
    </w:p>
    <w:p>
      <w:pPr>
        <w:pStyle w:val="Compact"/>
        <w:numPr>
          <w:ilvl w:val="0"/>
          <w:numId w:val="1083"/>
        </w:numPr>
      </w:pPr>
      <w:r>
        <w:t xml:space="preserve">The</w:t>
      </w:r>
      <w:r>
        <w:t xml:space="preserve"> </w:t>
      </w:r>
      <w:r>
        <w:rPr>
          <w:rStyle w:val="Fill-in"/>
        </w:rPr>
        <w:t xml:space="preserve">[System owner]</w:t>
      </w:r>
      <w:r>
        <w:t xml:space="preserve"> </w:t>
      </w:r>
      <w:r>
        <w:t xml:space="preserve">shall provide and implement the capability for</w:t>
      </w:r>
      <w:r>
        <w:t xml:space="preserve"> </w:t>
      </w:r>
      <w:r>
        <w:rPr>
          <w:rStyle w:val="Fill-in"/>
        </w:rPr>
        <w:t xml:space="preserve">[Fill in: individuals or roles authorized to change the logging on system components. Typical: the security operations administrators]</w:t>
      </w:r>
      <w:r>
        <w:t xml:space="preserve"> </w:t>
      </w:r>
      <w:r>
        <w:t xml:space="preserve">to change the logging performed on</w:t>
      </w:r>
      <w:r>
        <w:t xml:space="preserve"> </w:t>
      </w:r>
      <w:r>
        <w:rPr>
          <w:rStyle w:val="Fill-in"/>
        </w:rPr>
        <w:t xml:space="preserve">[Fill in: system components on which logging is to be performed. Typical: all components in the system boundary]</w:t>
      </w:r>
      <w:r>
        <w:t xml:space="preserve"> </w:t>
      </w:r>
      <w:r>
        <w:t xml:space="preserve">based on</w:t>
      </w:r>
      <w:r>
        <w:t xml:space="preserve"> </w:t>
      </w:r>
      <w:r>
        <w:rPr>
          <w:rStyle w:val="Fill-in"/>
        </w:rPr>
        <w:t xml:space="preserve">[Fill in: selectable event criteria with which change logging is to be performed. Typical: the event types in the audit logging standard, and additional detail for a user or component under investigation]</w:t>
      </w:r>
      <w:r>
        <w:t xml:space="preserve"> </w:t>
      </w:r>
      <w:r>
        <w:t xml:space="preserve">within</w:t>
      </w:r>
      <w:r>
        <w:t xml:space="preserve"> </w:t>
      </w:r>
      <w:r>
        <w:rPr>
          <w:rStyle w:val="Fill-in"/>
        </w:rPr>
        <w:t xml:space="preserve">[Fill in: time thresholds in which logging actions are to change. Typical: 1 hour]</w:t>
      </w:r>
      <w:r>
        <w:t xml:space="preserve">. (AU-12(3))</w:t>
      </w:r>
    </w:p>
    <w:bookmarkEnd w:id="118"/>
    <w:bookmarkEnd w:id="119"/>
    <w:bookmarkStart w:id="148" w:name="Xbad736905af50b0219799eae2922f54035e358f"/>
    <w:p>
      <w:pPr>
        <w:pStyle w:val="Heading3"/>
      </w:pPr>
      <w:r>
        <w:t xml:space="preserve">Assessment, Authorization, and Monitoring (CA)</w:t>
      </w:r>
    </w:p>
    <w:bookmarkStart w:id="124" w:name="control-assessments-ca-2"/>
    <w:p>
      <w:pPr>
        <w:pStyle w:val="Heading4"/>
      </w:pPr>
      <w:r>
        <w:t xml:space="preserve">Control assessments (CA-2)</w:t>
      </w:r>
    </w:p>
    <w:p>
      <w:pPr>
        <w:pStyle w:val="Guidance"/>
      </w:pPr>
      <w:r>
        <w:t xml:space="preserve">CA-2 is the formal control assessment: an assessor tests whether each control is implemented correctly, operating as intended and producing the desired outcome. The</w:t>
      </w:r>
      <w:r>
        <w:t xml:space="preserve"> </w:t>
      </w:r>
      <w:hyperlink r:id="rId120">
        <w:r>
          <w:rPr>
            <w:rStyle w:val="Hyperlink"/>
          </w:rPr>
          <w:t xml:space="preserve">assessment plan</w:t>
        </w:r>
      </w:hyperlink>
      <w:r>
        <w:t xml:space="preserve"> </w:t>
      </w:r>
      <w:r>
        <w:t xml:space="preserve">is approved before testing starts, and the</w:t>
      </w:r>
      <w:r>
        <w:t xml:space="preserve"> </w:t>
      </w:r>
      <w:hyperlink r:id="rId121">
        <w:r>
          <w:rPr>
            <w:rStyle w:val="Hyperlink"/>
          </w:rPr>
          <w:t xml:space="preserve">assessment report</w:t>
        </w:r>
      </w:hyperlink>
      <w:r>
        <w:t xml:space="preserve"> </w:t>
      </w:r>
      <w:r>
        <w:t xml:space="preserve">goes to the people who decide on the system’s authorization (CA-6). The assessment procedures are usually the objectives and methods (examine, interview, test) in NIST SP 800-53A Rev. 5 (</w:t>
      </w:r>
      <w:hyperlink r:id="rId122">
        <w:r>
          <w:rPr>
            <w:rStyle w:val="Hyperlink"/>
          </w:rPr>
          <w:t xml:space="preserve">January 2022</w:t>
        </w:r>
      </w:hyperlink>
      <w:r>
        <w:t xml:space="preserve">, updated by release 5.2.0 in August 2025; current as of September 2026), shown on each control page. After the first authorization, the yearly assessment can reuse results from continuous monitoring (CA-7) that are still current and were obtained with enough independence.</w:t>
      </w:r>
    </w:p>
    <w:p>
      <w:pPr>
        <w:pStyle w:val="Compact"/>
        <w:numPr>
          <w:ilvl w:val="0"/>
          <w:numId w:val="108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84"/>
        </w:numPr>
      </w:pPr>
      <w:r>
        <w:t xml:space="preserve">The assessor shall develop an assessment plan that names the controls and control enhancements under assessment. (CA-2b.1)</w:t>
      </w:r>
    </w:p>
    <w:p>
      <w:pPr>
        <w:pStyle w:val="Compact"/>
        <w:numPr>
          <w:ilvl w:val="0"/>
          <w:numId w:val="1084"/>
        </w:numPr>
      </w:pPr>
      <w:r>
        <w:t xml:space="preserve">The assessment plan shall describe the assessment procedures used to determine control effectiveness. (CA-2b.2)</w:t>
      </w:r>
    </w:p>
    <w:p>
      <w:pPr>
        <w:pStyle w:val="Compact"/>
        <w:numPr>
          <w:ilvl w:val="0"/>
          <w:numId w:val="1084"/>
        </w:numPr>
      </w:pPr>
      <w:r>
        <w:t xml:space="preserve">The assessment plan shall describe the assessment environment, the assessment team, and the assessment roles and responsibilities. (CA-2b.3)</w:t>
      </w:r>
    </w:p>
    <w:p>
      <w:pPr>
        <w:pStyle w:val="Compact"/>
        <w:numPr>
          <w:ilvl w:val="0"/>
          <w:numId w:val="108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8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8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8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8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p>
      <w:pPr>
        <w:pStyle w:val="Guidance"/>
      </w:pPr>
      <w:r>
        <w:t xml:space="preserve">Common controls are assessed once by the organization that provides them, and each system that inherits them reuses that assessment. Record each</w:t>
      </w:r>
      <w:r>
        <w:t xml:space="preserve"> </w:t>
      </w:r>
      <w:r>
        <w:t xml:space="preserve">“other than satisfied”</w:t>
      </w:r>
      <w:r>
        <w:t xml:space="preserve"> </w:t>
      </w:r>
      <w:r>
        <w:t xml:space="preserve">result in the system’s plan of action and milestones (CA-5), unless the authorizing official accepts the risk (RA-7).</w:t>
      </w:r>
    </w:p>
    <w:bookmarkStart w:id="123" w:name="federal-systems-5"/>
    <w:p>
      <w:pPr>
        <w:pStyle w:val="Heading5"/>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76">
        <w:r>
          <w:rPr>
            <w:rStyle w:val="Hyperlink"/>
          </w:rPr>
          <w:t xml:space="preserve">44 U.S.C. § 3554(b)(5)</w:t>
        </w:r>
      </w:hyperlink>
      <w:r>
        <w:t xml:space="preserve">).</w:t>
      </w:r>
      <w:r>
        <w:t xml:space="preserve"> </w:t>
      </w:r>
      <w:hyperlink r:id="rId77">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8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8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123"/>
    <w:bookmarkEnd w:id="124"/>
    <w:bookmarkStart w:id="125" w:name="independent-assessors-ca-21"/>
    <w:p>
      <w:pPr>
        <w:pStyle w:val="Heading4"/>
      </w:pPr>
      <w:r>
        <w:t xml:space="preserve">Independent assessors (CA-2(1))</w:t>
      </w:r>
    </w:p>
    <w:p>
      <w:pPr>
        <w:pStyle w:val="Guidance"/>
      </w:pPr>
      <w:r>
        <w:t xml:space="preserve">An independent assessor has no actual or perceived conflict of interest with the system: they do not build, run or manage it, do not assess their own work, and do not advocate for the organization they assess. Independence can come from a separate internal team or a third-party assessor, provided the system owner cannot influence the assessor’s work or findings. In a small organization where every possible assessor is in the system owner’s chain, NIST’s CA-2(1) discussion allows an independent team of experts to review and validate the assessment results instead.</w:t>
      </w:r>
    </w:p>
    <w:p>
      <w:pPr>
        <w:pStyle w:val="Compact"/>
        <w:numPr>
          <w:ilvl w:val="0"/>
          <w:numId w:val="1086"/>
        </w:numPr>
      </w:pPr>
      <w:r>
        <w:t xml:space="preserve">The</w:t>
      </w:r>
      <w:r>
        <w:t xml:space="preserve"> </w:t>
      </w:r>
      <w:r>
        <w:rPr>
          <w:rStyle w:val="Fill-in"/>
        </w:rPr>
        <w:t xml:space="preserve">[Chief Information Security Officer]</w:t>
      </w:r>
      <w:r>
        <w:t xml:space="preserve"> </w:t>
      </w:r>
      <w:r>
        <w:t xml:space="preserve">shall employ independent assessors or assessment teams to conduct control assessments. (CA-2(1))</w:t>
      </w:r>
    </w:p>
    <w:p>
      <w:pPr>
        <w:pStyle w:val="Compact"/>
        <w:numPr>
          <w:ilvl w:val="0"/>
          <w:numId w:val="1086"/>
        </w:numPr>
      </w:pPr>
      <w:r>
        <w:t xml:space="preserve">The assessor shall be free of any actual or perceived conflict of interest regarding the development, operation, sustainment or management of the system under assessment. (CA-2(1))</w:t>
      </w:r>
    </w:p>
    <w:p>
      <w:pPr>
        <w:pStyle w:val="Compact"/>
        <w:numPr>
          <w:ilvl w:val="0"/>
          <w:numId w:val="1086"/>
        </w:numPr>
      </w:pPr>
      <w:r>
        <w:t xml:space="preserve">The authorizing official shall determine the level of assessor independence the system needs, based on its security category and risk, and confirm it before approving the assessment plan. (CA-2(1))</w:t>
      </w:r>
    </w:p>
    <w:bookmarkEnd w:id="125"/>
    <w:bookmarkStart w:id="126" w:name="specialized-assessments-ca-22"/>
    <w:p>
      <w:pPr>
        <w:pStyle w:val="Heading4"/>
      </w:pPr>
      <w:r>
        <w:t xml:space="preserve">Specialized assessments (CA-2(2))</w:t>
      </w:r>
    </w:p>
    <w:p>
      <w:pPr>
        <w:pStyle w:val="Guidance"/>
      </w:pPr>
      <w:r>
        <w:t xml:space="preserve">Specialized assessments go beyond the standard examine, interview and test methods to exercise the organization’s defenses as an adversary or insider would. NIST’s CA-2(2) discussion has the authorizing official approve the methods, in coordination with the organization’s risk executive function. Unannounced assessments test detection and response more realistically but need tighter rules of engagement, so organizations often start with announced ones.</w:t>
      </w:r>
    </w:p>
    <w:p>
      <w:pPr>
        <w:pStyle w:val="Compact"/>
        <w:numPr>
          <w:ilvl w:val="0"/>
          <w:numId w:val="1087"/>
        </w:numPr>
      </w:pPr>
      <w:r>
        <w:t xml:space="preserve">The assessor shall include</w:t>
      </w:r>
      <w:r>
        <w:t xml:space="preserve"> </w:t>
      </w:r>
      <w:r>
        <w:rPr>
          <w:rStyle w:val="Fill-in"/>
        </w:rPr>
        <w:t xml:space="preserve">[Select one: announced; unannounced. Typical: announced]</w:t>
      </w:r>
      <w:r>
        <w:t xml:space="preserve"> </w:t>
      </w:r>
      <w:r>
        <w:rPr>
          <w:rStyle w:val="Fill-in"/>
        </w:rPr>
        <w:t xml:space="preserve">[Select one or more: in-depth monitoring; security instrumentation; automated security test cases; vulnerability scanning; malicious user testing; insider threat assessment; performance and load testing; data leakage or data loss assessment; [Assignment: organization-defined other forms of assessment]. Typical: vulnerability scanning, malicious user testing, insider threat assessment, and data leakage or data loss assessment]</w:t>
      </w:r>
      <w:r>
        <w:t xml:space="preserve"> </w:t>
      </w:r>
      <w:r>
        <w:t xml:space="preserve">as part of control assessments,</w:t>
      </w:r>
      <w:r>
        <w:t xml:space="preserve"> </w:t>
      </w:r>
      <w:r>
        <w:rPr>
          <w:rStyle w:val="Fill-in"/>
        </w:rPr>
        <w:t xml:space="preserve">[Fill in: frequency at which to include specialized assessments as part of the control assessment. Typical: at least annually]</w:t>
      </w:r>
      <w:r>
        <w:t xml:space="preserve">. (CA-2(2))</w:t>
      </w:r>
    </w:p>
    <w:p>
      <w:pPr>
        <w:pStyle w:val="Compact"/>
        <w:numPr>
          <w:ilvl w:val="0"/>
          <w:numId w:val="1087"/>
        </w:numPr>
      </w:pPr>
      <w:r>
        <w:t xml:space="preserve">The authorizing official shall approve the specialized assessment methods, and their rules of engagement, before they are used. (CA-2(2))</w:t>
      </w:r>
    </w:p>
    <w:p>
      <w:pPr>
        <w:pStyle w:val="Compact"/>
        <w:numPr>
          <w:ilvl w:val="0"/>
          <w:numId w:val="1087"/>
        </w:numPr>
      </w:pPr>
      <w:r>
        <w:t xml:space="preserve">The</w:t>
      </w:r>
      <w:r>
        <w:t xml:space="preserve"> </w:t>
      </w:r>
      <w:r>
        <w:rPr>
          <w:rStyle w:val="Fill-in"/>
        </w:rPr>
        <w:t xml:space="preserve">[System owner]</w:t>
      </w:r>
      <w:r>
        <w:t xml:space="preserve"> </w:t>
      </w:r>
      <w:r>
        <w:t xml:space="preserve">shall enter each vulnerability that a specialized assessment finds into the system’s vulnerability remediation process (RA-5). (CA-2(2))</w:t>
      </w:r>
    </w:p>
    <w:bookmarkEnd w:id="126"/>
    <w:bookmarkStart w:id="130" w:name="information-exchange-ca-3"/>
    <w:p>
      <w:pPr>
        <w:pStyle w:val="Heading4"/>
      </w:pPr>
      <w:r>
        <w:t xml:space="preserve">Information exchange (CA-3)</w:t>
      </w:r>
    </w:p>
    <w:p>
      <w:pPr>
        <w:pStyle w:val="Guidance"/>
      </w:pPr>
      <w:r>
        <w:t xml:space="preserve">CA-3 covers every exchange of information with a system outside the authorization boundary, whether over a dedicated connection, an application programming interface or a file transfer. The</w:t>
      </w:r>
      <w:r>
        <w:t xml:space="preserve"> </w:t>
      </w:r>
      <w:hyperlink r:id="rId127">
        <w:r>
          <w:rPr>
            <w:rStyle w:val="Hyperlink"/>
          </w:rPr>
          <w:t xml:space="preserve">information exchange agreement</w:t>
        </w:r>
      </w:hyperlink>
      <w:r>
        <w:t xml:space="preserve"> </w:t>
      </w:r>
      <w:r>
        <w:t xml:space="preserve">records what is exchanged, how it is protected and who is responsible on each side. NIST SP 800-47 Rev. 1, Managing the Security of Information Exchanges (</w:t>
      </w:r>
      <w:hyperlink r:id="rId128">
        <w:r>
          <w:rPr>
            <w:rStyle w:val="Hyperlink"/>
          </w:rPr>
          <w:t xml:space="preserve">July 2021</w:t>
        </w:r>
      </w:hyperlink>
      <w:r>
        <w:t xml:space="preserve">, current as of September 2026), describes how to plan, establish, maintain and end exchanges and their agreements. NIST’s CA-3 discussion notes that when both systems have the same authorizing official, no separate agreement is needed: the security and privacy plans describe the interface instead.</w:t>
      </w:r>
    </w:p>
    <w:p>
      <w:pPr>
        <w:pStyle w:val="Compact"/>
        <w:numPr>
          <w:ilvl w:val="0"/>
          <w:numId w:val="1088"/>
        </w:numPr>
      </w:pPr>
      <w:r>
        <w:t xml:space="preserve">The authorizing official shall approve each exchange of information between the system and another system before the exchange begins. (CA-3a)</w:t>
      </w:r>
    </w:p>
    <w:p>
      <w:pPr>
        <w:pStyle w:val="Compact"/>
        <w:numPr>
          <w:ilvl w:val="0"/>
          <w:numId w:val="1088"/>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88"/>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88"/>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88"/>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88"/>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129" w:name="federal-systems-6"/>
    <w:p>
      <w:pPr>
        <w:pStyle w:val="Heading5"/>
      </w:pPr>
      <w:r>
        <w:t xml:space="preserve">Federal systems</w:t>
      </w:r>
    </w:p>
    <w:p>
      <w:pPr>
        <w:pStyle w:val="FirstParagraph"/>
      </w:pPr>
      <w:hyperlink r:id="rId77">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89"/>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89"/>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129"/>
    <w:bookmarkEnd w:id="130"/>
    <w:bookmarkStart w:id="131" w:name="transfer-authorizations-ca-36"/>
    <w:p>
      <w:pPr>
        <w:pStyle w:val="Heading4"/>
      </w:pPr>
      <w:r>
        <w:t xml:space="preserve">Transfer authorizations (CA-3(6))</w:t>
      </w:r>
    </w:p>
    <w:p>
      <w:pPr>
        <w:pStyle w:val="Guidance"/>
      </w:pPr>
      <w:r>
        <w:t xml:space="preserve">Transfer authorization checks the sender, not only the connection: before the system accepts data from an interconnected system, it confirms that the person or system sending it is permitted to write that data. Service accounts used for transfers are the usual gap; give each one only the write permissions its exchange agreement names.</w:t>
      </w:r>
    </w:p>
    <w:p>
      <w:pPr>
        <w:pStyle w:val="Compact"/>
        <w:numPr>
          <w:ilvl w:val="0"/>
          <w:numId w:val="1090"/>
        </w:numPr>
      </w:pPr>
      <w:r>
        <w:t xml:space="preserve">The</w:t>
      </w:r>
      <w:r>
        <w:t xml:space="preserve"> </w:t>
      </w:r>
      <w:r>
        <w:rPr>
          <w:rStyle w:val="Fill-in"/>
        </w:rPr>
        <w:t xml:space="preserve">[System owner]</w:t>
      </w:r>
      <w:r>
        <w:t xml:space="preserve"> </w:t>
      </w:r>
      <w:r>
        <w:t xml:space="preserve">shall ensure the system verifies that individuals or systems transferring data between interconnecting systems have the requisite authorizations, such as write permissions or privileges, before it accepts the data. (CA-3(6))</w:t>
      </w:r>
    </w:p>
    <w:p>
      <w:pPr>
        <w:pStyle w:val="Compact"/>
        <w:numPr>
          <w:ilvl w:val="0"/>
          <w:numId w:val="1090"/>
        </w:numPr>
      </w:pPr>
      <w:r>
        <w:t xml:space="preserve">Each exchange agreement shall name the accounts or systems authorized to transfer data under it and the permissions each holds. (CA-3(6))</w:t>
      </w:r>
    </w:p>
    <w:bookmarkEnd w:id="131"/>
    <w:bookmarkStart w:id="134" w:name="plan-of-action-and-milestones-ca-5"/>
    <w:p>
      <w:pPr>
        <w:pStyle w:val="Heading4"/>
      </w:pPr>
      <w:r>
        <w:t xml:space="preserve">Plan of action and milestones (CA-5)</w:t>
      </w:r>
    </w:p>
    <w:p>
      <w:pPr>
        <w:pStyle w:val="Guidance"/>
      </w:pPr>
      <w:r>
        <w:t xml:space="preserve">The plan of action and milestones (POA&amp;M) records every known weakness until it is fixed or formally accepted. It connects assessments to remediation, and assessors read it closely because it shows whether the organization acts on what it finds. The</w:t>
      </w:r>
      <w:r>
        <w:t xml:space="preserve"> </w:t>
      </w:r>
      <w:hyperlink r:id="rId132">
        <w:r>
          <w:rPr>
            <w:rStyle w:val="Hyperlink"/>
          </w:rPr>
          <w:t xml:space="preserve">POA&amp;M template</w:t>
        </w:r>
      </w:hyperlink>
      <w:r>
        <w:t xml:space="preserve"> </w:t>
      </w:r>
      <w:r>
        <w:t xml:space="preserve">lists the fields. Weaknesses in inherited common controls belong on the POA&amp;M of the organization that provides them.</w:t>
      </w:r>
    </w:p>
    <w:p>
      <w:pPr>
        <w:pStyle w:val="Compact"/>
        <w:numPr>
          <w:ilvl w:val="0"/>
          <w:numId w:val="1091"/>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91"/>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91"/>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91"/>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91"/>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p>
      <w:pPr>
        <w:pStyle w:val="Guidance"/>
      </w:pPr>
      <w:r>
        <w:t xml:space="preserve">A weakness the organization decides not to fix goes through risk acceptance (RA-7), within the tolerance the risk management strategy sets. Record the acceptance and its review date against the item, so an assessor can trace every finding to either a fix or a decision.</w:t>
      </w:r>
    </w:p>
    <w:bookmarkStart w:id="133" w:name="federal-systems-7"/>
    <w:p>
      <w:pPr>
        <w:pStyle w:val="Heading5"/>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76">
        <w:r>
          <w:rPr>
            <w:rStyle w:val="Hyperlink"/>
          </w:rPr>
          <w:t xml:space="preserve">44 U.S.C. § 3554(b)(6)</w:t>
        </w:r>
      </w:hyperlink>
      <w:r>
        <w:t xml:space="preserve">).</w:t>
      </w:r>
      <w:r>
        <w:t xml:space="preserve"> </w:t>
      </w:r>
      <w:hyperlink r:id="rId77">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92"/>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92"/>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133"/>
    <w:bookmarkEnd w:id="134"/>
    <w:bookmarkStart w:id="137" w:name="authorization-ca-6"/>
    <w:p>
      <w:pPr>
        <w:pStyle w:val="Heading4"/>
      </w:pPr>
      <w:r>
        <w:t xml:space="preserve">Authorization (CA-6)</w:t>
      </w:r>
    </w:p>
    <w:p>
      <w:pPr>
        <w:pStyle w:val="Guidance"/>
      </w:pPr>
      <w:r>
        <w:t xml:space="preserve">Authorization is a senior official’s decision to accept the risk of operating a system, based on the authorization package: the system security plan, the</w:t>
      </w:r>
      <w:r>
        <w:t xml:space="preserve"> </w:t>
      </w:r>
      <w:hyperlink r:id="rId121">
        <w:r>
          <w:rPr>
            <w:rStyle w:val="Hyperlink"/>
          </w:rPr>
          <w:t xml:space="preserve">assessment report</w:t>
        </w:r>
      </w:hyperlink>
      <w:r>
        <w:t xml:space="preserve"> </w:t>
      </w:r>
      <w:r>
        <w:t xml:space="preserve">and the plan of action and milestones. The authorizing official should have budget or mission responsibility for the system, so the person who accepts the risk also owns its consequences. Ongoing authorization replaces the fixed termination date with decisions made from continuous monitoring results; it needs an initial authorization and a working continuous monitoring program (CA-7) first.</w:t>
      </w:r>
    </w:p>
    <w:p>
      <w:pPr>
        <w:pStyle w:val="Compact"/>
        <w:numPr>
          <w:ilvl w:val="0"/>
          <w:numId w:val="1093"/>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93"/>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93"/>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93"/>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93"/>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93"/>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93"/>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93"/>
        </w:numPr>
      </w:pPr>
      <w:r>
        <w:t xml:space="preserve">When the authorizing official changes, the new authorizing official shall review the current authorization and either accept the documented risk in a new signed decision or begin a reauthorization. (CA-6e)</w:t>
      </w:r>
    </w:p>
    <w:bookmarkStart w:id="136" w:name="federal-systems-8"/>
    <w:p>
      <w:pPr>
        <w:pStyle w:val="Heading5"/>
      </w:pPr>
      <w:r>
        <w:t xml:space="preserve">Federal systems</w:t>
      </w:r>
    </w:p>
    <w:p>
      <w:pPr>
        <w:pStyle w:val="FirstParagraph"/>
      </w:pPr>
      <w:hyperlink r:id="rId77">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135">
        <w:r>
          <w:rPr>
            <w:rStyle w:val="Hyperlink"/>
          </w:rPr>
          <w:t xml:space="preserve">December 2018</w:t>
        </w:r>
      </w:hyperlink>
      <w:r>
        <w:t xml:space="preserve">, current as of September 2026) describes the authorization tasks. As of September 2026.</w:t>
      </w:r>
    </w:p>
    <w:p>
      <w:pPr>
        <w:pStyle w:val="Compact"/>
        <w:numPr>
          <w:ilvl w:val="0"/>
          <w:numId w:val="1094"/>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94"/>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94"/>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136"/>
    <w:bookmarkEnd w:id="137"/>
    <w:bookmarkStart w:id="141" w:name="continuous-monitoring-ca-7"/>
    <w:p>
      <w:pPr>
        <w:pStyle w:val="Heading4"/>
      </w:pPr>
      <w:r>
        <w:t xml:space="preserve">Continuous monitoring (CA-7)</w:t>
      </w:r>
    </w:p>
    <w:p>
      <w:pPr>
        <w:pStyle w:val="Guidance"/>
      </w:pPr>
      <w:r>
        <w:t xml:space="preserve">Continuous monitoring keeps the authorization current between full assessments. The system’s</w:t>
      </w:r>
      <w:r>
        <w:t xml:space="preserve"> </w:t>
      </w:r>
      <w:hyperlink r:id="rId138">
        <w:r>
          <w:rPr>
            <w:rStyle w:val="Hyperlink"/>
          </w:rPr>
          <w:t xml:space="preserve">Continuous Monitoring Strategy</w:t>
        </w:r>
      </w:hyperlink>
      <w:r>
        <w:t xml:space="preserve"> </w:t>
      </w:r>
      <w:r>
        <w:t xml:space="preserve">follows the organization-wide strategy (PM-31) and sets what is measured, how often each control is monitored and assessed, how results are analyzed and acted on, and how often the system’s status is reported. A common approach assigns each control a frequency by how often it changes: vulnerability management monthly, physical security annually. NIST SP 800-137 (</w:t>
      </w:r>
      <w:hyperlink r:id="rId139">
        <w:r>
          <w:rPr>
            <w:rStyle w:val="Hyperlink"/>
          </w:rPr>
          <w:t xml:space="preserve">September 2011</w:t>
        </w:r>
      </w:hyperlink>
      <w:r>
        <w:t xml:space="preserve">, current as of September 2026) describes information security continuous monitoring.</w:t>
      </w:r>
    </w:p>
    <w:p>
      <w:pPr>
        <w:pStyle w:val="Compact"/>
        <w:numPr>
          <w:ilvl w:val="0"/>
          <w:numId w:val="1095"/>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95"/>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95"/>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95"/>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95"/>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95"/>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95"/>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95"/>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95"/>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95"/>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95"/>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p>
      <w:pPr>
        <w:pStyle w:val="Guidance"/>
      </w:pPr>
      <w:r>
        <w:t xml:space="preserve">Give the system owner the metrics monthly, even when the authorizing official receives a quarterly report, so action is not left to the formal report. The organization-wide strategy (PM-31) may need each system’s data monthly for its own reports. The frequencies set here should also match the assessment frequency under CA-2d, since the yearly assessment is usually the continuous monitoring assessments of that year.</w:t>
      </w:r>
    </w:p>
    <w:bookmarkStart w:id="140" w:name="federal-systems-9"/>
    <w:p>
      <w:pPr>
        <w:pStyle w:val="Heading5"/>
      </w:pPr>
      <w:r>
        <w:t xml:space="preserve">Federal systems</w:t>
      </w:r>
    </w:p>
    <w:p>
      <w:pPr>
        <w:pStyle w:val="FirstParagraph"/>
      </w:pPr>
      <w:hyperlink r:id="rId77">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96"/>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96"/>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140"/>
    <w:bookmarkEnd w:id="141"/>
    <w:bookmarkStart w:id="142" w:name="independent-assessment-ca-71"/>
    <w:p>
      <w:pPr>
        <w:pStyle w:val="Heading4"/>
      </w:pPr>
      <w:r>
        <w:t xml:space="preserve">Independent assessment (CA-7(1))</w:t>
      </w:r>
    </w:p>
    <w:p>
      <w:pPr>
        <w:pStyle w:val="Guidance"/>
      </w:pPr>
      <w:r>
        <w:t xml:space="preserve">The independence rules of CA-2(1) apply to ongoing assessments too. Automated monitoring data can come from the system’s own tools, but the people who assess what the data shows should not be the system’s administrators. Common ways to meet it are a continuous monitoring team in the security office or the same third-party assessor that performs the yearly assessment.</w:t>
      </w:r>
    </w:p>
    <w:p>
      <w:pPr>
        <w:pStyle w:val="Compact"/>
        <w:numPr>
          <w:ilvl w:val="0"/>
          <w:numId w:val="1097"/>
        </w:numPr>
      </w:pPr>
      <w:r>
        <w:t xml:space="preserve">The</w:t>
      </w:r>
      <w:r>
        <w:t xml:space="preserve"> </w:t>
      </w:r>
      <w:r>
        <w:rPr>
          <w:rStyle w:val="Fill-in"/>
        </w:rPr>
        <w:t xml:space="preserve">[Chief Information Security Officer]</w:t>
      </w:r>
      <w:r>
        <w:t xml:space="preserve"> </w:t>
      </w:r>
      <w:r>
        <w:t xml:space="preserve">shall employ independent assessors or assessment teams to monitor the controls in the system on an ongoing basis. (CA-7(1))</w:t>
      </w:r>
    </w:p>
    <w:p>
      <w:pPr>
        <w:pStyle w:val="Compact"/>
        <w:numPr>
          <w:ilvl w:val="0"/>
          <w:numId w:val="1097"/>
        </w:numPr>
      </w:pPr>
      <w:r>
        <w:t xml:space="preserve">The ongoing assessors shall meet the independence the authorizing official set for the system under CA-2(1). (CA-7(1))</w:t>
      </w:r>
    </w:p>
    <w:bookmarkEnd w:id="142"/>
    <w:bookmarkStart w:id="143" w:name="risk-monitoring-ca-74"/>
    <w:p>
      <w:pPr>
        <w:pStyle w:val="Heading4"/>
      </w:pPr>
      <w:r>
        <w:t xml:space="preserve">Risk monitoring (CA-7(4))</w:t>
      </w:r>
    </w:p>
    <w:p>
      <w:pPr>
        <w:pStyle w:val="Guidance"/>
      </w:pPr>
      <w:r>
        <w:t xml:space="preserve">Risk monitoring ties continuous monitoring to the risk tolerance in the risk management strategy (PM-9). Effectiveness monitoring asks whether the risk responses work, compliance monitoring asks whether they are in place, and change monitoring looks for changes that could alter the risk. Change monitoring usually draws on configuration change control (CM-3), security impact analyses (CM-4) and the component inventory (CM-8).</w:t>
      </w:r>
    </w:p>
    <w:p>
      <w:pPr>
        <w:pStyle w:val="Compact"/>
        <w:numPr>
          <w:ilvl w:val="0"/>
          <w:numId w:val="1098"/>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98"/>
        </w:numPr>
      </w:pPr>
      <w:r>
        <w:t xml:space="preserve">The strategy shall include effectiveness monitoring, to determine whether the implemented risk response measures remain effective. (CA-7(4)(a))</w:t>
      </w:r>
    </w:p>
    <w:p>
      <w:pPr>
        <w:pStyle w:val="Compact"/>
        <w:numPr>
          <w:ilvl w:val="0"/>
          <w:numId w:val="1098"/>
        </w:numPr>
      </w:pPr>
      <w:r>
        <w:t xml:space="preserve">The strategy shall include compliance monitoring, to verify that required risk response measures are implemented and that security and privacy requirements are satisfied. (CA-7(4)(b))</w:t>
      </w:r>
    </w:p>
    <w:p>
      <w:pPr>
        <w:pStyle w:val="Compact"/>
        <w:numPr>
          <w:ilvl w:val="0"/>
          <w:numId w:val="1098"/>
        </w:numPr>
      </w:pPr>
      <w:r>
        <w:t xml:space="preserve">The strategy shall include change monitoring, to identify changes to the system and its environment of operation that may affect security and privacy risk. (CA-7(4)(c))</w:t>
      </w:r>
    </w:p>
    <w:bookmarkEnd w:id="143"/>
    <w:bookmarkStart w:id="145" w:name="penetration-testing-ca-8"/>
    <w:p>
      <w:pPr>
        <w:pStyle w:val="Heading4"/>
      </w:pPr>
      <w:r>
        <w:t xml:space="preserve">Penetration testing (CA-8)</w:t>
      </w:r>
    </w:p>
    <w:p>
      <w:pPr>
        <w:pStyle w:val="Guidance"/>
      </w:pPr>
      <w:r>
        <w:t xml:space="preserve">Penetration testing goes beyond automated vulnerability scanning: skilled testers try to exploit weaknesses the way an adversary would, within agreed limits of time, scope and method. Written rules of engagement, approved before testing, set the scope, times, methods allowed, contacts and how a test is stopped. NIST SP 800-115, Technical Guide to Information Security Testing and Assessment (</w:t>
      </w:r>
      <w:hyperlink r:id="rId144">
        <w:r>
          <w:rPr>
            <w:rStyle w:val="Hyperlink"/>
          </w:rPr>
          <w:t xml:space="preserve">September 2008</w:t>
        </w:r>
      </w:hyperlink>
      <w:r>
        <w:t xml:space="preserve">, current as of September 2026), describes planning and running penetration tests.</w:t>
      </w:r>
    </w:p>
    <w:p>
      <w:pPr>
        <w:pStyle w:val="Compact"/>
        <w:numPr>
          <w:ilvl w:val="0"/>
          <w:numId w:val="1099"/>
        </w:numPr>
      </w:pPr>
      <w:r>
        <w:t xml:space="preserve">The</w:t>
      </w:r>
      <w:r>
        <w:t xml:space="preserve"> </w:t>
      </w:r>
      <w:r>
        <w:rPr>
          <w:rStyle w:val="Fill-in"/>
        </w:rPr>
        <w:t xml:space="preserve">[Chief Information Security Officer]</w:t>
      </w:r>
      <w:r>
        <w:t xml:space="preserve"> </w:t>
      </w:r>
      <w:r>
        <w:t xml:space="preserve">shall conduct penetration testing</w:t>
      </w:r>
      <w:r>
        <w:t xml:space="preserve"> </w:t>
      </w:r>
      <w:r>
        <w:rPr>
          <w:rStyle w:val="Fill-in"/>
        </w:rPr>
        <w:t xml:space="preserve">[Fill in: frequency at which to conduct penetration testing on systems or system components. Typical: at least annually, and after a significant change to the system]</w:t>
      </w:r>
      <w:r>
        <w:t xml:space="preserve"> </w:t>
      </w:r>
      <w:r>
        <w:t xml:space="preserve">on</w:t>
      </w:r>
      <w:r>
        <w:t xml:space="preserve"> </w:t>
      </w:r>
      <w:r>
        <w:rPr>
          <w:rStyle w:val="Fill-in"/>
        </w:rPr>
        <w:t xml:space="preserve">[Fill in: systems or system components on which penetration testing is to be conducted. Typical: the system’s internet-facing components and applications, and a sample of its internal components]</w:t>
      </w:r>
      <w:r>
        <w:t xml:space="preserve">. (CA-8)</w:t>
      </w:r>
    </w:p>
    <w:p>
      <w:pPr>
        <w:pStyle w:val="Compact"/>
        <w:numPr>
          <w:ilvl w:val="0"/>
          <w:numId w:val="1099"/>
        </w:numPr>
      </w:pPr>
      <w:r>
        <w:t xml:space="preserve">The authorizing official shall approve written rules of engagement, covering scope, timing, methods, contacts and how testing is stopped, before each penetration test begins. (CA-8)</w:t>
      </w:r>
    </w:p>
    <w:p>
      <w:pPr>
        <w:pStyle w:val="Compact"/>
        <w:numPr>
          <w:ilvl w:val="0"/>
          <w:numId w:val="1099"/>
        </w:numPr>
      </w:pPr>
      <w:r>
        <w:t xml:space="preserve">The</w:t>
      </w:r>
      <w:r>
        <w:t xml:space="preserve"> </w:t>
      </w:r>
      <w:r>
        <w:rPr>
          <w:rStyle w:val="Fill-in"/>
        </w:rPr>
        <w:t xml:space="preserve">[System owner]</w:t>
      </w:r>
      <w:r>
        <w:t xml:space="preserve"> </w:t>
      </w:r>
      <w:r>
        <w:t xml:space="preserve">shall enter each weakness a penetration test finds into the system’s plan of action and milestones or vulnerability remediation process. (CA-8)</w:t>
      </w:r>
    </w:p>
    <w:bookmarkEnd w:id="145"/>
    <w:bookmarkStart w:id="146" w:name="Xc5b067fdd5c2bdc4d69bf6f12682098b0fd5a11"/>
    <w:p>
      <w:pPr>
        <w:pStyle w:val="Heading4"/>
      </w:pPr>
      <w:r>
        <w:t xml:space="preserve">Independent penetration testing agent or team (CA-8(1))</w:t>
      </w:r>
    </w:p>
    <w:p>
      <w:pPr>
        <w:pStyle w:val="Guidance"/>
      </w:pPr>
      <w:r>
        <w:t xml:space="preserve">An independent penetration testing team is one with no conflict of interest in the system, as for independent assessors under CA-2(1). It can be an internal red team outside the system’s chain of command or an outside firm.</w:t>
      </w:r>
    </w:p>
    <w:p>
      <w:pPr>
        <w:pStyle w:val="Compact"/>
        <w:numPr>
          <w:ilvl w:val="0"/>
          <w:numId w:val="1100"/>
        </w:numPr>
      </w:pPr>
      <w:r>
        <w:t xml:space="preserve">The</w:t>
      </w:r>
      <w:r>
        <w:t xml:space="preserve"> </w:t>
      </w:r>
      <w:r>
        <w:rPr>
          <w:rStyle w:val="Fill-in"/>
        </w:rPr>
        <w:t xml:space="preserve">[Chief Information Security Officer]</w:t>
      </w:r>
      <w:r>
        <w:t xml:space="preserve"> </w:t>
      </w:r>
      <w:r>
        <w:t xml:space="preserve">shall employ an independent penetration testing agent or team to perform penetration testing on the system or system components. (CA-8(1))</w:t>
      </w:r>
    </w:p>
    <w:bookmarkEnd w:id="146"/>
    <w:bookmarkStart w:id="147" w:name="internal-system-connections-ca-9"/>
    <w:p>
      <w:pPr>
        <w:pStyle w:val="Heading4"/>
      </w:pPr>
      <w:r>
        <w:t xml:space="preserve">Internal system connections (CA-9)</w:t>
      </w:r>
    </w:p>
    <w:p>
      <w:pPr>
        <w:pStyle w:val="Guidance"/>
      </w:pPr>
      <w:r>
        <w:t xml:space="preserve">Internal connections are connections between the system and its own separate components, such as printers or mobile devices, rather than other systems (CA-3). NIST’s CA-9 discussion lets the organization authorize a whole class of components with a common configuration instead of each device, which is the usual approach. Record each authorized class in the system security plan.</w:t>
      </w:r>
    </w:p>
    <w:p>
      <w:pPr>
        <w:pStyle w:val="Compact"/>
        <w:numPr>
          <w:ilvl w:val="0"/>
          <w:numId w:val="1101"/>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101"/>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101"/>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101"/>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147"/>
    <w:bookmarkEnd w:id="148"/>
    <w:bookmarkStart w:id="181" w:name="configuration-management-cm"/>
    <w:p>
      <w:pPr>
        <w:pStyle w:val="Heading3"/>
      </w:pPr>
      <w:r>
        <w:t xml:space="preserve">Configuration Management (CM)</w:t>
      </w:r>
    </w:p>
    <w:bookmarkStart w:id="149" w:name="baseline-configuration-cm-2"/>
    <w:p>
      <w:pPr>
        <w:pStyle w:val="Heading4"/>
      </w:pPr>
      <w:r>
        <w:t xml:space="preserve">Baseline configuration (CM-2)</w:t>
      </w:r>
    </w:p>
    <w:p>
      <w:pPr>
        <w:pStyle w:val="Compact"/>
        <w:numPr>
          <w:ilvl w:val="0"/>
          <w:numId w:val="1102"/>
        </w:numPr>
      </w:pPr>
      <w:r>
        <w:t xml:space="preserve">The</w:t>
      </w:r>
      <w:r>
        <w:t xml:space="preserve"> </w:t>
      </w:r>
      <w:r>
        <w:rPr>
          <w:rStyle w:val="Fill-in"/>
        </w:rPr>
        <w:t xml:space="preserve">[System owner]</w:t>
      </w:r>
      <w:r>
        <w:t xml:space="preserve"> </w:t>
      </w:r>
      <w:r>
        <w:t xml:space="preserve">shall develop, document and maintain under configuration control a current baseline configuration of the system. (CM-2a)</w:t>
      </w:r>
    </w:p>
    <w:p>
      <w:pPr>
        <w:pStyle w:val="Compact"/>
        <w:numPr>
          <w:ilvl w:val="0"/>
          <w:numId w:val="1102"/>
        </w:numPr>
      </w:pPr>
      <w:r>
        <w:t xml:space="preserve">The</w:t>
      </w:r>
      <w:r>
        <w:t xml:space="preserve"> </w:t>
      </w:r>
      <w:r>
        <w:rPr>
          <w:rStyle w:val="Fill-in"/>
        </w:rPr>
        <w:t xml:space="preserve">[System owner]</w:t>
      </w:r>
      <w:r>
        <w:t xml:space="preserve"> </w:t>
      </w:r>
      <w:r>
        <w:t xml:space="preserve">shall review and update the baseline configuration</w:t>
      </w:r>
      <w:r>
        <w:t xml:space="preserve"> </w:t>
      </w:r>
      <w:r>
        <w:rPr>
          <w:rStyle w:val="Fill-in"/>
        </w:rPr>
        <w:t xml:space="preserve">[Fill in: the frequency of baseline configuration review and update. Typical: at least annually]</w:t>
      </w:r>
      <w:r>
        <w:t xml:space="preserve">. (CM-2b.1)</w:t>
      </w:r>
    </w:p>
    <w:p>
      <w:pPr>
        <w:pStyle w:val="Compact"/>
        <w:numPr>
          <w:ilvl w:val="0"/>
          <w:numId w:val="1102"/>
        </w:numPr>
      </w:pPr>
      <w:r>
        <w:t xml:space="preserve">The</w:t>
      </w:r>
      <w:r>
        <w:t xml:space="preserve"> </w:t>
      </w:r>
      <w:r>
        <w:rPr>
          <w:rStyle w:val="Fill-in"/>
        </w:rPr>
        <w:t xml:space="preserve">[System owner]</w:t>
      </w:r>
      <w:r>
        <w:t xml:space="preserve"> </w:t>
      </w:r>
      <w:r>
        <w:t xml:space="preserve">shall review and update the baseline configuration when required by</w:t>
      </w:r>
      <w:r>
        <w:t xml:space="preserve"> </w:t>
      </w:r>
      <w:r>
        <w:rPr>
          <w:rStyle w:val="Fill-in"/>
        </w:rPr>
        <w:t xml:space="preserve">[Fill in: the circumstances requiring baseline configuration review and update. Typical: a significant change to the system, a new version of the secure configuration it is based on, or a security incident]</w:t>
      </w:r>
      <w:r>
        <w:t xml:space="preserve">. (CM-2b.2)</w:t>
      </w:r>
    </w:p>
    <w:p>
      <w:pPr>
        <w:pStyle w:val="Compact"/>
        <w:numPr>
          <w:ilvl w:val="0"/>
          <w:numId w:val="1102"/>
        </w:numPr>
      </w:pPr>
      <w:r>
        <w:t xml:space="preserve">The</w:t>
      </w:r>
      <w:r>
        <w:t xml:space="preserve"> </w:t>
      </w:r>
      <w:r>
        <w:rPr>
          <w:rStyle w:val="Fill-in"/>
        </w:rPr>
        <w:t xml:space="preserve">[System owner]</w:t>
      </w:r>
      <w:r>
        <w:t xml:space="preserve"> </w:t>
      </w:r>
      <w:r>
        <w:t xml:space="preserve">shall review and update the baseline configuration when system components are installed or upgraded. (CM-2b.3)</w:t>
      </w:r>
    </w:p>
    <w:bookmarkEnd w:id="149"/>
    <w:bookmarkStart w:id="150" w:name="X8f6215c2744f37973dc4da3ff669058c6fb8aba"/>
    <w:p>
      <w:pPr>
        <w:pStyle w:val="Heading4"/>
      </w:pPr>
      <w:r>
        <w:t xml:space="preserve">Automation support for accuracy and currency (CM-2(2))</w:t>
      </w:r>
    </w:p>
    <w:p>
      <w:pPr>
        <w:pStyle w:val="Compact"/>
        <w:numPr>
          <w:ilvl w:val="0"/>
          <w:numId w:val="1103"/>
        </w:numPr>
      </w:pPr>
      <w:r>
        <w:t xml:space="preserve">The</w:t>
      </w:r>
      <w:r>
        <w:t xml:space="preserve"> </w:t>
      </w:r>
      <w:r>
        <w:rPr>
          <w:rStyle w:val="Fill-in"/>
        </w:rPr>
        <w:t xml:space="preserve">[System owner]</w:t>
      </w:r>
      <w:r>
        <w:t xml:space="preserve"> </w:t>
      </w:r>
      <w:r>
        <w:t xml:space="preserve">shall maintain the currency, completeness, accuracy and availability of the baseline configuration using</w:t>
      </w:r>
      <w:r>
        <w:t xml:space="preserve"> </w:t>
      </w:r>
      <w:r>
        <w:rPr>
          <w:rStyle w:val="Fill-in"/>
        </w:rPr>
        <w:t xml:space="preserve">[Fill in: automated mechanisms for maintaining baseline configuration of the system. Typical: configuration management and infrastructure-as-code tools that record the approved baseline]</w:t>
      </w:r>
      <w:r>
        <w:t xml:space="preserve">. (CM-2(2))</w:t>
      </w:r>
    </w:p>
    <w:bookmarkEnd w:id="150"/>
    <w:bookmarkStart w:id="151" w:name="X3b633a24aa50e0fcb68cfe545a39258a58528c5"/>
    <w:p>
      <w:pPr>
        <w:pStyle w:val="Heading4"/>
      </w:pPr>
      <w:r>
        <w:t xml:space="preserve">Retention of previous configurations (CM-2(3))</w:t>
      </w:r>
    </w:p>
    <w:p>
      <w:pPr>
        <w:pStyle w:val="Compact"/>
        <w:numPr>
          <w:ilvl w:val="0"/>
          <w:numId w:val="1104"/>
        </w:numPr>
      </w:pPr>
      <w:r>
        <w:t xml:space="preserve">The</w:t>
      </w:r>
      <w:r>
        <w:t xml:space="preserve"> </w:t>
      </w:r>
      <w:r>
        <w:rPr>
          <w:rStyle w:val="Fill-in"/>
        </w:rPr>
        <w:t xml:space="preserve">[System owner]</w:t>
      </w:r>
      <w:r>
        <w:t xml:space="preserve"> </w:t>
      </w:r>
      <w:r>
        <w:t xml:space="preserve">shall retain</w:t>
      </w:r>
      <w:r>
        <w:t xml:space="preserve"> </w:t>
      </w:r>
      <w:r>
        <w:rPr>
          <w:rStyle w:val="Fill-in"/>
        </w:rPr>
        <w:t xml:space="preserve">[Fill in: the number of previous baseline configuration versions to be retained. Typical: at least the two most recent]</w:t>
      </w:r>
      <w:r>
        <w:t xml:space="preserve"> </w:t>
      </w:r>
      <w:r>
        <w:t xml:space="preserve">previous versions of the baseline configuration to support rollback. (CM-2(3))</w:t>
      </w:r>
    </w:p>
    <w:bookmarkEnd w:id="151"/>
    <w:bookmarkStart w:id="152" w:name="X542d5f8a2ebaa1bed905a929304a033bab88953"/>
    <w:p>
      <w:pPr>
        <w:pStyle w:val="Heading4"/>
      </w:pPr>
      <w:r>
        <w:t xml:space="preserve">Configure systems and components for high-risk areas (CM-2(7))</w:t>
      </w:r>
    </w:p>
    <w:p>
      <w:pPr>
        <w:pStyle w:val="Compact"/>
        <w:numPr>
          <w:ilvl w:val="0"/>
          <w:numId w:val="1105"/>
        </w:numPr>
      </w:pPr>
      <w:r>
        <w:t xml:space="preserve">The</w:t>
      </w:r>
      <w:r>
        <w:t xml:space="preserve"> </w:t>
      </w:r>
      <w:r>
        <w:rPr>
          <w:rStyle w:val="Fill-in"/>
        </w:rPr>
        <w:t xml:space="preserve">[Chief Information Security Officer]</w:t>
      </w:r>
      <w:r>
        <w:t xml:space="preserve"> </w:t>
      </w:r>
      <w:r>
        <w:t xml:space="preserve">shall ensure individuals traveling to locations the organization deems to be of significant risk are issued</w:t>
      </w:r>
      <w:r>
        <w:t xml:space="preserve"> </w:t>
      </w:r>
      <w:r>
        <w:rPr>
          <w:rStyle w:val="Fill-in"/>
        </w:rPr>
        <w:t xml:space="preserve">[Fill in: the systems or system components to be issued when individuals travel to high-risk areas. Typical: loaner laptops and mobile devices]</w:t>
      </w:r>
      <w:r>
        <w:t xml:space="preserve"> </w:t>
      </w:r>
      <w:r>
        <w:t xml:space="preserve">with</w:t>
      </w:r>
      <w:r>
        <w:t xml:space="preserve"> </w:t>
      </w:r>
      <w:r>
        <w:rPr>
          <w:rStyle w:val="Fill-in"/>
        </w:rPr>
        <w:t xml:space="preserve">[Fill in: configurations for systems or system components to be issued when individuals travel to high-risk areas. Typical: a minimal configuration with full-disk encryption, no stored organizational data and access only through the organization’s VPN]</w:t>
      </w:r>
      <w:r>
        <w:t xml:space="preserve">. (CM-2(7)(a))</w:t>
      </w:r>
    </w:p>
    <w:p>
      <w:pPr>
        <w:pStyle w:val="Compact"/>
        <w:numPr>
          <w:ilvl w:val="0"/>
          <w:numId w:val="1105"/>
        </w:numPr>
      </w:pPr>
      <w:r>
        <w:t xml:space="preserve">When those individuals return, the</w:t>
      </w:r>
      <w:r>
        <w:t xml:space="preserve"> </w:t>
      </w:r>
      <w:r>
        <w:rPr>
          <w:rStyle w:val="Fill-in"/>
        </w:rPr>
        <w:t xml:space="preserve">[Chief Information Security Officer]</w:t>
      </w:r>
      <w:r>
        <w:t xml:space="preserve"> </w:t>
      </w:r>
      <w:r>
        <w:t xml:space="preserve">shall ensure the following controls are applied to the devices:</w:t>
      </w:r>
      <w:r>
        <w:t xml:space="preserve"> </w:t>
      </w:r>
      <w:r>
        <w:rPr>
          <w:rStyle w:val="Fill-in"/>
        </w:rPr>
        <w:t xml:space="preserve">[Fill in: the controls to be applied when the individuals return from travel. Typical: inspecting the device, wiping and reimaging it before reuse, and resetting the user’s credentials]</w:t>
      </w:r>
      <w:r>
        <w:t xml:space="preserve">. (CM-2(7)(b))</w:t>
      </w:r>
    </w:p>
    <w:bookmarkEnd w:id="152"/>
    <w:bookmarkStart w:id="153" w:name="configuration-change-control-cm-3"/>
    <w:p>
      <w:pPr>
        <w:pStyle w:val="Heading4"/>
      </w:pPr>
      <w:r>
        <w:t xml:space="preserve">Configuration change control (CM-3)</w:t>
      </w:r>
    </w:p>
    <w:p>
      <w:pPr>
        <w:pStyle w:val="Guidance"/>
      </w:pPr>
      <w:r>
        <w:t xml:space="preserve">CM-3 is where most programs either show discipline or show a gap. Keep one change record per change, with the request, the impact analysis (CM-4), the decision, the test result and the implementation date. Assessors sample changes from the system and trace each back to an approved record.</w:t>
      </w:r>
    </w:p>
    <w:p>
      <w:pPr>
        <w:pStyle w:val="Compact"/>
        <w:numPr>
          <w:ilvl w:val="0"/>
          <w:numId w:val="1106"/>
        </w:numPr>
      </w:pPr>
      <w:r>
        <w:t xml:space="preserve">The</w:t>
      </w:r>
      <w:r>
        <w:t xml:space="preserve"> </w:t>
      </w:r>
      <w:r>
        <w:rPr>
          <w:rStyle w:val="Fill-in"/>
        </w:rPr>
        <w:t xml:space="preserve">[System owner]</w:t>
      </w:r>
      <w:r>
        <w:t xml:space="preserve"> </w:t>
      </w:r>
      <w:r>
        <w:t xml:space="preserve">shall determine and document the types of changes to the system that are configuration-controlled. (CM-3a)</w:t>
      </w:r>
    </w:p>
    <w:p>
      <w:pPr>
        <w:pStyle w:val="Compact"/>
        <w:numPr>
          <w:ilvl w:val="0"/>
          <w:numId w:val="1106"/>
        </w:numPr>
      </w:pPr>
      <w:r>
        <w:t xml:space="preserve">The</w:t>
      </w:r>
      <w:r>
        <w:t xml:space="preserve"> </w:t>
      </w:r>
      <w:r>
        <w:rPr>
          <w:rStyle w:val="Fill-in"/>
        </w:rPr>
        <w:t xml:space="preserve">[System owner]</w:t>
      </w:r>
      <w:r>
        <w:t xml:space="preserve"> </w:t>
      </w:r>
      <w:r>
        <w:t xml:space="preserve">shall review proposed configuration-controlled changes and approve or disapprove them with explicit consideration of security and privacy impact analyses. (CM-3b)</w:t>
      </w:r>
    </w:p>
    <w:p>
      <w:pPr>
        <w:pStyle w:val="Compact"/>
        <w:numPr>
          <w:ilvl w:val="0"/>
          <w:numId w:val="1106"/>
        </w:numPr>
      </w:pPr>
      <w:r>
        <w:t xml:space="preserve">The</w:t>
      </w:r>
      <w:r>
        <w:t xml:space="preserve"> </w:t>
      </w:r>
      <w:r>
        <w:rPr>
          <w:rStyle w:val="Fill-in"/>
        </w:rPr>
        <w:t xml:space="preserve">[System owner]</w:t>
      </w:r>
      <w:r>
        <w:t xml:space="preserve"> </w:t>
      </w:r>
      <w:r>
        <w:t xml:space="preserve">shall document configuration change decisions for the system. (CM-3c)</w:t>
      </w:r>
    </w:p>
    <w:p>
      <w:pPr>
        <w:pStyle w:val="Compact"/>
        <w:numPr>
          <w:ilvl w:val="0"/>
          <w:numId w:val="1106"/>
        </w:numPr>
      </w:pPr>
      <w:r>
        <w:t xml:space="preserve">The</w:t>
      </w:r>
      <w:r>
        <w:t xml:space="preserve"> </w:t>
      </w:r>
      <w:r>
        <w:rPr>
          <w:rStyle w:val="Fill-in"/>
        </w:rPr>
        <w:t xml:space="preserve">[System owner]</w:t>
      </w:r>
      <w:r>
        <w:t xml:space="preserve"> </w:t>
      </w:r>
      <w:r>
        <w:t xml:space="preserve">shall implement only approved configuration-controlled changes. (CM-3d)</w:t>
      </w:r>
    </w:p>
    <w:p>
      <w:pPr>
        <w:pStyle w:val="Compact"/>
        <w:numPr>
          <w:ilvl w:val="0"/>
          <w:numId w:val="1106"/>
        </w:numPr>
      </w:pPr>
      <w:r>
        <w:t xml:space="preserve">The</w:t>
      </w:r>
      <w:r>
        <w:t xml:space="preserve"> </w:t>
      </w:r>
      <w:r>
        <w:rPr>
          <w:rStyle w:val="Fill-in"/>
        </w:rPr>
        <w:t xml:space="preserve">[System owner]</w:t>
      </w:r>
      <w:r>
        <w:t xml:space="preserve"> </w:t>
      </w:r>
      <w:r>
        <w:t xml:space="preserve">shall retain records of configuration-controlled changes for</w:t>
      </w:r>
      <w:r>
        <w:t xml:space="preserve"> </w:t>
      </w:r>
      <w:r>
        <w:rPr>
          <w:rStyle w:val="Fill-in"/>
        </w:rPr>
        <w:t xml:space="preserve">[Fill in: the time period to retain records of configuration-controlled changes. Typical: at least one year, or the life of the system if longer]</w:t>
      </w:r>
      <w:r>
        <w:t xml:space="preserve">. (CM-3e)</w:t>
      </w:r>
    </w:p>
    <w:p>
      <w:pPr>
        <w:pStyle w:val="Compact"/>
        <w:numPr>
          <w:ilvl w:val="0"/>
          <w:numId w:val="1106"/>
        </w:numPr>
      </w:pPr>
      <w:r>
        <w:t xml:space="preserve">The</w:t>
      </w:r>
      <w:r>
        <w:t xml:space="preserve"> </w:t>
      </w:r>
      <w:r>
        <w:rPr>
          <w:rStyle w:val="Fill-in"/>
        </w:rPr>
        <w:t xml:space="preserve">[System owner]</w:t>
      </w:r>
      <w:r>
        <w:t xml:space="preserve"> </w:t>
      </w:r>
      <w:r>
        <w:t xml:space="preserve">shall monitor and review activities associated with configuration-controlled changes. (CM-3f)</w:t>
      </w:r>
    </w:p>
    <w:p>
      <w:pPr>
        <w:pStyle w:val="Compact"/>
        <w:numPr>
          <w:ilvl w:val="0"/>
          <w:numId w:val="1106"/>
        </w:numPr>
      </w:pPr>
      <w:r>
        <w:t xml:space="preserve">Configuration change control activities shall be coordinated and overseen by</w:t>
      </w:r>
      <w:r>
        <w:t xml:space="preserve"> </w:t>
      </w:r>
      <w:r>
        <w:rPr>
          <w:rStyle w:val="Fill-in"/>
        </w:rPr>
        <w:t xml:space="preserve">[Fill in: the configuration change control element responsible for coordinating and overseeing change control activities. Typical: a change control board with the system owner, technical leads and a security representative]</w:t>
      </w:r>
      <w:r>
        <w:t xml:space="preserve">, which convenes</w:t>
      </w:r>
      <w:r>
        <w:t xml:space="preserve"> </w:t>
      </w:r>
      <w:r>
        <w:rPr>
          <w:rStyle w:val="Fill-in"/>
        </w:rPr>
        <w:t xml:space="preserve">[Select one or more: [Assignment: organization-defined frequency]; when [Assignment: organization-defined configuration change conditions]. Typical: weekly, and when an emergency change is requested]</w:t>
      </w:r>
      <w:r>
        <w:t xml:space="preserve">. (CM-3g)</w:t>
      </w:r>
    </w:p>
    <w:bookmarkEnd w:id="153"/>
    <w:bookmarkStart w:id="154" w:name="X70f1ec22a4f9132358f5ae36b3cab88e1a8b26d"/>
    <w:p>
      <w:pPr>
        <w:pStyle w:val="Heading4"/>
      </w:pPr>
      <w:r>
        <w:t xml:space="preserve">Automated documentation, notification and prohibition of changes (CM-3(1))</w:t>
      </w:r>
    </w:p>
    <w:p>
      <w:pPr>
        <w:pStyle w:val="Compact"/>
        <w:numPr>
          <w:ilvl w:val="0"/>
          <w:numId w:val="1107"/>
        </w:numPr>
      </w:pPr>
      <w:r>
        <w:t xml:space="preserve">The</w:t>
      </w:r>
      <w:r>
        <w:t xml:space="preserve"> </w:t>
      </w:r>
      <w:r>
        <w:rPr>
          <w:rStyle w:val="Fill-in"/>
        </w:rPr>
        <w:t xml:space="preserve">[System owner]</w:t>
      </w:r>
      <w:r>
        <w:t xml:space="preserve"> </w:t>
      </w:r>
      <w:r>
        <w:t xml:space="preserve">shall use</w:t>
      </w:r>
      <w:r>
        <w:t xml:space="preserve"> </w:t>
      </w:r>
      <w:r>
        <w:rPr>
          <w:rStyle w:val="Fill-in"/>
        </w:rPr>
        <w:t xml:space="preserve">[Fill in: mechanisms used to automate configuration change control. Typical: the change management system integrated with the deployment pipeline]</w:t>
      </w:r>
      <w:r>
        <w:t xml:space="preserve"> </w:t>
      </w:r>
      <w:r>
        <w:t xml:space="preserve">to document proposed changes to the system. (CM-3(1)(a))</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notify</w:t>
      </w:r>
      <w:r>
        <w:t xml:space="preserve"> </w:t>
      </w:r>
      <w:r>
        <w:rPr>
          <w:rStyle w:val="Fill-in"/>
        </w:rPr>
        <w:t xml:space="preserve">[Fill in: approval authorities to be notified of and request approval for proposed changes to the system. Typical: the change control board members]</w:t>
      </w:r>
      <w:r>
        <w:t xml:space="preserve"> </w:t>
      </w:r>
      <w:r>
        <w:t xml:space="preserve">of proposed changes and request approval. (CM-3(1)(b))</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highlight proposed changes not approved or disapproved within</w:t>
      </w:r>
      <w:r>
        <w:t xml:space="preserve"> </w:t>
      </w:r>
      <w:r>
        <w:rPr>
          <w:rStyle w:val="Fill-in"/>
        </w:rPr>
        <w:t xml:space="preserve">[Fill in: the time period after which to highlight changes that have not been approved or disapproved. Typical: 5 business days]</w:t>
      </w:r>
      <w:r>
        <w:t xml:space="preserve">. (CM-3(1)(c))</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prohibit changes until the designated approvals are received. (CM-3(1)(d))</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document all changes to the system. (CM-3(1)(e))</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notify</w:t>
      </w:r>
      <w:r>
        <w:t xml:space="preserve"> </w:t>
      </w:r>
      <w:r>
        <w:rPr>
          <w:rStyle w:val="Fill-in"/>
        </w:rPr>
        <w:t xml:space="preserve">[Fill in: personnel to be notified when approved changes are complete. Typical: the requester, the system owner and the security operations team]</w:t>
      </w:r>
      <w:r>
        <w:t xml:space="preserve"> </w:t>
      </w:r>
      <w:r>
        <w:t xml:space="preserve">when approved changes are completed. (CM-3(1)(f))</w:t>
      </w:r>
    </w:p>
    <w:bookmarkEnd w:id="154"/>
    <w:bookmarkStart w:id="155" w:name="X84da63b63adf3de26e8409a06021e9d4dba8696"/>
    <w:p>
      <w:pPr>
        <w:pStyle w:val="Heading4"/>
      </w:pPr>
      <w:r>
        <w:t xml:space="preserve">Testing, validation and documentation of changes (CM-3(2))</w:t>
      </w:r>
    </w:p>
    <w:p>
      <w:pPr>
        <w:pStyle w:val="Compact"/>
        <w:numPr>
          <w:ilvl w:val="0"/>
          <w:numId w:val="1108"/>
        </w:numPr>
      </w:pPr>
      <w:r>
        <w:t xml:space="preserve">The</w:t>
      </w:r>
      <w:r>
        <w:t xml:space="preserve"> </w:t>
      </w:r>
      <w:r>
        <w:rPr>
          <w:rStyle w:val="Fill-in"/>
        </w:rPr>
        <w:t xml:space="preserve">[System owner]</w:t>
      </w:r>
      <w:r>
        <w:t xml:space="preserve"> </w:t>
      </w:r>
      <w:r>
        <w:t xml:space="preserve">shall test, validate and document changes before finalizing their implementation. (CM-3(2))</w:t>
      </w:r>
    </w:p>
    <w:bookmarkEnd w:id="155"/>
    <w:bookmarkStart w:id="156" w:name="X24799d3f509600f82bb406839bbc9db19262726"/>
    <w:p>
      <w:pPr>
        <w:pStyle w:val="Heading4"/>
      </w:pPr>
      <w:r>
        <w:t xml:space="preserve">Security and privacy representatives (CM-3(4))</w:t>
      </w:r>
    </w:p>
    <w:p>
      <w:pPr>
        <w:pStyle w:val="Compact"/>
        <w:numPr>
          <w:ilvl w:val="0"/>
          <w:numId w:val="1109"/>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security and privacy representatives. Typical: a representative of the security team and, where the system processes personal information, of the privacy office]</w:t>
      </w:r>
      <w:r>
        <w:t xml:space="preserve"> </w:t>
      </w:r>
      <w:r>
        <w:t xml:space="preserve">to be members of</w:t>
      </w:r>
      <w:r>
        <w:t xml:space="preserve"> </w:t>
      </w:r>
      <w:r>
        <w:rPr>
          <w:rStyle w:val="Fill-in"/>
        </w:rPr>
        <w:t xml:space="preserve">[Fill in: the configuration change control element of which the security and privacy representatives are to be members. Typical: the change control board]</w:t>
      </w:r>
      <w:r>
        <w:t xml:space="preserve">. (CM-3(4))</w:t>
      </w:r>
    </w:p>
    <w:bookmarkEnd w:id="156"/>
    <w:bookmarkStart w:id="157" w:name="cryptography-management-cm-36"/>
    <w:p>
      <w:pPr>
        <w:pStyle w:val="Heading4"/>
      </w:pPr>
      <w:r>
        <w:t xml:space="preserve">Cryptography management (CM-3(6))</w:t>
      </w:r>
    </w:p>
    <w:p>
      <w:pPr>
        <w:pStyle w:val="Compact"/>
        <w:numPr>
          <w:ilvl w:val="0"/>
          <w:numId w:val="1110"/>
        </w:numPr>
      </w:pPr>
      <w:r>
        <w:t xml:space="preserve">The</w:t>
      </w:r>
      <w:r>
        <w:t xml:space="preserve"> </w:t>
      </w:r>
      <w:r>
        <w:rPr>
          <w:rStyle w:val="Fill-in"/>
        </w:rPr>
        <w:t xml:space="preserve">[System owner]</w:t>
      </w:r>
      <w:r>
        <w:t xml:space="preserve"> </w:t>
      </w:r>
      <w:r>
        <w:t xml:space="preserve">shall ensure the cryptographic mechanisms that provide</w:t>
      </w:r>
      <w:r>
        <w:t xml:space="preserve"> </w:t>
      </w:r>
      <w:r>
        <w:rPr>
          <w:rStyle w:val="Fill-in"/>
        </w:rPr>
        <w:t xml:space="preserve">[Fill in: controls provided by cryptographic mechanisms that are to be under configuration management. Typical: encryption in transit and at rest, digital signatures and authentication (SC-8, SC-13, SC-28, IA-5)]</w:t>
      </w:r>
      <w:r>
        <w:t xml:space="preserve"> </w:t>
      </w:r>
      <w:r>
        <w:t xml:space="preserve">are under configuration management. (CM-3(6))</w:t>
      </w:r>
    </w:p>
    <w:bookmarkEnd w:id="157"/>
    <w:bookmarkStart w:id="158" w:name="impact-analyses-cm-4"/>
    <w:p>
      <w:pPr>
        <w:pStyle w:val="Heading4"/>
      </w:pPr>
      <w:r>
        <w:t xml:space="preserve">Impact analyses (CM-4)</w:t>
      </w:r>
    </w:p>
    <w:p>
      <w:pPr>
        <w:pStyle w:val="Compact"/>
        <w:numPr>
          <w:ilvl w:val="0"/>
          <w:numId w:val="1111"/>
        </w:numPr>
      </w:pPr>
      <w:r>
        <w:t xml:space="preserve">The</w:t>
      </w:r>
      <w:r>
        <w:t xml:space="preserve"> </w:t>
      </w:r>
      <w:r>
        <w:rPr>
          <w:rStyle w:val="Fill-in"/>
        </w:rPr>
        <w:t xml:space="preserve">[System owner]</w:t>
      </w:r>
      <w:r>
        <w:t xml:space="preserve"> </w:t>
      </w:r>
      <w:r>
        <w:t xml:space="preserve">shall analyze changes to the system to determine potential security and privacy impacts before the changes are implemented. (CM-4)</w:t>
      </w:r>
    </w:p>
    <w:bookmarkEnd w:id="158"/>
    <w:bookmarkStart w:id="159" w:name="separate-test-environments-cm-41"/>
    <w:p>
      <w:pPr>
        <w:pStyle w:val="Heading4"/>
      </w:pPr>
      <w:r>
        <w:t xml:space="preserve">Separate test environments (CM-4(1))</w:t>
      </w:r>
    </w:p>
    <w:p>
      <w:pPr>
        <w:pStyle w:val="Compact"/>
        <w:numPr>
          <w:ilvl w:val="0"/>
          <w:numId w:val="1112"/>
        </w:numPr>
      </w:pPr>
      <w:r>
        <w:t xml:space="preserve">The</w:t>
      </w:r>
      <w:r>
        <w:t xml:space="preserve"> </w:t>
      </w:r>
      <w:r>
        <w:rPr>
          <w:rStyle w:val="Fill-in"/>
        </w:rPr>
        <w:t xml:space="preserve">[System owner]</w:t>
      </w:r>
      <w:r>
        <w:t xml:space="preserve"> </w:t>
      </w:r>
      <w:r>
        <w:t xml:space="preserve">shall analyze changes in a separate test environment, before implementation in the operational environment, for security and privacy impacts from flaws, weaknesses, incompatibility or intentional malice. (CM-4(1))</w:t>
      </w:r>
    </w:p>
    <w:bookmarkEnd w:id="159"/>
    <w:bookmarkStart w:id="160" w:name="verification-of-controls-cm-42"/>
    <w:p>
      <w:pPr>
        <w:pStyle w:val="Heading4"/>
      </w:pPr>
      <w:r>
        <w:t xml:space="preserve">Verification of controls (CM-4(2))</w:t>
      </w:r>
    </w:p>
    <w:p>
      <w:pPr>
        <w:pStyle w:val="Compact"/>
        <w:numPr>
          <w:ilvl w:val="0"/>
          <w:numId w:val="1113"/>
        </w:numPr>
      </w:pPr>
      <w:r>
        <w:t xml:space="preserve">After a system change, the</w:t>
      </w:r>
      <w:r>
        <w:t xml:space="preserve"> </w:t>
      </w:r>
      <w:r>
        <w:rPr>
          <w:rStyle w:val="Fill-in"/>
        </w:rPr>
        <w:t xml:space="preserve">[System owner]</w:t>
      </w:r>
      <w:r>
        <w:t xml:space="preserve"> </w:t>
      </w:r>
      <w:r>
        <w:t xml:space="preserve">shall verify that the impacted controls are implemented correctly, operating as intended and producing the desired outcome. (CM-4(2))</w:t>
      </w:r>
    </w:p>
    <w:bookmarkEnd w:id="160"/>
    <w:bookmarkStart w:id="161" w:name="access-restrictions-for-change-cm-5"/>
    <w:p>
      <w:pPr>
        <w:pStyle w:val="Heading4"/>
      </w:pPr>
      <w:r>
        <w:t xml:space="preserve">Access restrictions for change (CM-5)</w:t>
      </w:r>
    </w:p>
    <w:p>
      <w:pPr>
        <w:pStyle w:val="Compact"/>
        <w:numPr>
          <w:ilvl w:val="0"/>
          <w:numId w:val="1114"/>
        </w:numPr>
      </w:pPr>
      <w:r>
        <w:t xml:space="preserve">The</w:t>
      </w:r>
      <w:r>
        <w:t xml:space="preserve"> </w:t>
      </w:r>
      <w:r>
        <w:rPr>
          <w:rStyle w:val="Fill-in"/>
        </w:rPr>
        <w:t xml:space="preserve">[System owner]</w:t>
      </w:r>
      <w:r>
        <w:t xml:space="preserve"> </w:t>
      </w:r>
      <w:r>
        <w:t xml:space="preserve">shall define, document, approve and enforce physical and logical access restrictions associated with changes to the system. (CM-5)</w:t>
      </w:r>
    </w:p>
    <w:bookmarkEnd w:id="161"/>
    <w:bookmarkStart w:id="162" w:name="X7dc0492b8dc549997cb95ddf8ca551ad52692fd"/>
    <w:p>
      <w:pPr>
        <w:pStyle w:val="Heading4"/>
      </w:pPr>
      <w:r>
        <w:t xml:space="preserve">Automated access enforcement and audit records (CM-5(1))</w:t>
      </w:r>
    </w:p>
    <w:p>
      <w:pPr>
        <w:pStyle w:val="Compact"/>
        <w:numPr>
          <w:ilvl w:val="0"/>
          <w:numId w:val="1115"/>
        </w:numPr>
      </w:pPr>
      <w:r>
        <w:t xml:space="preserve">The</w:t>
      </w:r>
      <w:r>
        <w:t xml:space="preserve"> </w:t>
      </w:r>
      <w:r>
        <w:rPr>
          <w:rStyle w:val="Fill-in"/>
        </w:rPr>
        <w:t xml:space="preserve">[System owner]</w:t>
      </w:r>
      <w:r>
        <w:t xml:space="preserve"> </w:t>
      </w:r>
      <w:r>
        <w:t xml:space="preserve">shall enforce access restrictions for change using</w:t>
      </w:r>
      <w:r>
        <w:t xml:space="preserve"> </w:t>
      </w:r>
      <w:r>
        <w:rPr>
          <w:rStyle w:val="Fill-in"/>
        </w:rPr>
        <w:t xml:space="preserve">[Fill in: mechanisms used to automate the enforcement of access restrictions. Typical: role-based permissions in the deployment pipeline and the configuration management tools]</w:t>
      </w:r>
      <w:r>
        <w:t xml:space="preserve">. (CM-5(1)(a))</w:t>
      </w:r>
    </w:p>
    <w:p>
      <w:pPr>
        <w:pStyle w:val="Compact"/>
        <w:numPr>
          <w:ilvl w:val="0"/>
          <w:numId w:val="1115"/>
        </w:numPr>
      </w:pPr>
      <w:r>
        <w:t xml:space="preserve">The</w:t>
      </w:r>
      <w:r>
        <w:t xml:space="preserve"> </w:t>
      </w:r>
      <w:r>
        <w:rPr>
          <w:rStyle w:val="Fill-in"/>
        </w:rPr>
        <w:t xml:space="preserve">[System owner]</w:t>
      </w:r>
      <w:r>
        <w:t xml:space="preserve"> </w:t>
      </w:r>
      <w:r>
        <w:t xml:space="preserve">shall ensure audit records of the enforcement actions are generated automatically. (CM-5(1)(b))</w:t>
      </w:r>
    </w:p>
    <w:bookmarkEnd w:id="162"/>
    <w:bookmarkStart w:id="164" w:name="configuration-settings-cm-6"/>
    <w:p>
      <w:pPr>
        <w:pStyle w:val="Heading4"/>
      </w:pPr>
      <w:r>
        <w:t xml:space="preserve">Configuration settings (CM-6)</w:t>
      </w:r>
    </w:p>
    <w:p>
      <w:pPr>
        <w:pStyle w:val="Guidance"/>
      </w:pPr>
      <w:r>
        <w:t xml:space="preserve">Pick a published secure configuration for each component type rather than writing your own: vendor security baselines and checklists from the NIST National Checklist Program (</w:t>
      </w:r>
      <w:hyperlink r:id="rId163">
        <w:r>
          <w:rPr>
            <w:rStyle w:val="Hyperlink"/>
          </w:rPr>
          <w:t xml:space="preserve">SP 800-70 Rev. 5</w:t>
        </w:r>
      </w:hyperlink>
      <w:r>
        <w:t xml:space="preserve">, May 2026) are common starting points. Record each deviation with its reason and approval; assessors compare scan results against the baseline and ask for the approval of every difference.</w:t>
      </w:r>
    </w:p>
    <w:p>
      <w:pPr>
        <w:pStyle w:val="Compact"/>
        <w:numPr>
          <w:ilvl w:val="0"/>
          <w:numId w:val="1116"/>
        </w:numPr>
      </w:pPr>
      <w:r>
        <w:t xml:space="preserve">The</w:t>
      </w:r>
      <w:r>
        <w:t xml:space="preserve"> </w:t>
      </w:r>
      <w:r>
        <w:rPr>
          <w:rStyle w:val="Fill-in"/>
        </w:rPr>
        <w:t xml:space="preserve">[System owner]</w:t>
      </w:r>
      <w:r>
        <w:t xml:space="preserve"> </w:t>
      </w:r>
      <w:r>
        <w:t xml:space="preserve">shall establish and document configuration settings for system components that reflect the most restrictive mode consistent with operational requirements, using</w:t>
      </w:r>
      <w:r>
        <w:t xml:space="preserve"> </w:t>
      </w:r>
      <w:r>
        <w:rPr>
          <w:rStyle w:val="Fill-in"/>
        </w:rPr>
        <w:t xml:space="preserve">[Fill in: common secure configurations to establish and document configuration settings for components employed within the system. Typical: the secure configuration baselines named in the baseline configuration standard]</w:t>
      </w:r>
      <w:r>
        <w:t xml:space="preserve">. (CM-6a)</w:t>
      </w:r>
    </w:p>
    <w:p>
      <w:pPr>
        <w:pStyle w:val="Compact"/>
        <w:numPr>
          <w:ilvl w:val="0"/>
          <w:numId w:val="1116"/>
        </w:numPr>
      </w:pPr>
      <w:r>
        <w:t xml:space="preserve">The</w:t>
      </w:r>
      <w:r>
        <w:t xml:space="preserve"> </w:t>
      </w:r>
      <w:r>
        <w:rPr>
          <w:rStyle w:val="Fill-in"/>
        </w:rPr>
        <w:t xml:space="preserve">[System owner]</w:t>
      </w:r>
      <w:r>
        <w:t xml:space="preserve"> </w:t>
      </w:r>
      <w:r>
        <w:t xml:space="preserve">shall implement the configuration settings. (CM-6b)</w:t>
      </w:r>
    </w:p>
    <w:p>
      <w:pPr>
        <w:pStyle w:val="Compact"/>
        <w:numPr>
          <w:ilvl w:val="0"/>
          <w:numId w:val="1116"/>
        </w:numPr>
      </w:pPr>
      <w:r>
        <w:t xml:space="preserve">The</w:t>
      </w:r>
      <w:r>
        <w:t xml:space="preserve"> </w:t>
      </w:r>
      <w:r>
        <w:rPr>
          <w:rStyle w:val="Fill-in"/>
        </w:rPr>
        <w:t xml:space="preserve">[System owner]</w:t>
      </w:r>
      <w:r>
        <w:t xml:space="preserve"> </w:t>
      </w:r>
      <w:r>
        <w:t xml:space="preserve">shall identify, document and approve any deviation from the established settings for</w:t>
      </w:r>
      <w:r>
        <w:t xml:space="preserve"> </w:t>
      </w:r>
      <w:r>
        <w:rPr>
          <w:rStyle w:val="Fill-in"/>
        </w:rPr>
        <w:t xml:space="preserve">[Fill in: system components for which approval of deviations is needed. Typical: all system components]</w:t>
      </w:r>
      <w:r>
        <w:t xml:space="preserve">, based on</w:t>
      </w:r>
      <w:r>
        <w:t xml:space="preserve"> </w:t>
      </w:r>
      <w:r>
        <w:rPr>
          <w:rStyle w:val="Fill-in"/>
        </w:rPr>
        <w:t xml:space="preserve">[Fill in: operational requirements necessitating approval of deviations. Typical: documented operational needs that the system owner approves and the security team reviews]</w:t>
      </w:r>
      <w:r>
        <w:t xml:space="preserve">. (CM-6c)</w:t>
      </w:r>
    </w:p>
    <w:p>
      <w:pPr>
        <w:pStyle w:val="Compact"/>
        <w:numPr>
          <w:ilvl w:val="0"/>
          <w:numId w:val="1116"/>
        </w:numPr>
      </w:pPr>
      <w:r>
        <w:t xml:space="preserve">The</w:t>
      </w:r>
      <w:r>
        <w:t xml:space="preserve"> </w:t>
      </w:r>
      <w:r>
        <w:rPr>
          <w:rStyle w:val="Fill-in"/>
        </w:rPr>
        <w:t xml:space="preserve">[System owner]</w:t>
      </w:r>
      <w:r>
        <w:t xml:space="preserve"> </w:t>
      </w:r>
      <w:r>
        <w:t xml:space="preserve">shall monitor and control changes to the configuration settings in accordance with this policy and its procedures. (CM-6d)</w:t>
      </w:r>
    </w:p>
    <w:bookmarkEnd w:id="164"/>
    <w:bookmarkStart w:id="165" w:name="X974715a65a379608d22e4d0e3352934ac36482b"/>
    <w:p>
      <w:pPr>
        <w:pStyle w:val="Heading4"/>
      </w:pPr>
      <w:r>
        <w:t xml:space="preserve">Automated management, application and verification (CM-6(1))</w:t>
      </w:r>
    </w:p>
    <w:p>
      <w:pPr>
        <w:pStyle w:val="Compact"/>
        <w:numPr>
          <w:ilvl w:val="0"/>
          <w:numId w:val="1117"/>
        </w:numPr>
      </w:pPr>
      <w:r>
        <w:t xml:space="preserve">The</w:t>
      </w:r>
      <w:r>
        <w:t xml:space="preserve"> </w:t>
      </w:r>
      <w:r>
        <w:rPr>
          <w:rStyle w:val="Fill-in"/>
        </w:rPr>
        <w:t xml:space="preserve">[System owner]</w:t>
      </w:r>
      <w:r>
        <w:t xml:space="preserve"> </w:t>
      </w:r>
      <w:r>
        <w:t xml:space="preserve">shall manage, apply and verify configuration settings for</w:t>
      </w:r>
      <w:r>
        <w:t xml:space="preserve"> </w:t>
      </w:r>
      <w:r>
        <w:rPr>
          <w:rStyle w:val="Fill-in"/>
        </w:rPr>
        <w:t xml:space="preserve">[Fill in: system components for which to manage, apply, and verify configuration settings. Typical: all servers, workstations and network devices]</w:t>
      </w:r>
      <w:r>
        <w:t xml:space="preserve"> </w:t>
      </w:r>
      <w:r>
        <w:t xml:space="preserve">using</w:t>
      </w:r>
      <w:r>
        <w:t xml:space="preserve"> </w:t>
      </w:r>
      <w:r>
        <w:rPr>
          <w:rStyle w:val="Fill-in"/>
        </w:rPr>
        <w:t xml:space="preserve">[Fill in: automated mechanisms. Typical: configuration management tools and compliance scanning]</w:t>
      </w:r>
      <w:r>
        <w:t xml:space="preserve">. (CM-6(1))</w:t>
      </w:r>
    </w:p>
    <w:bookmarkEnd w:id="165"/>
    <w:bookmarkStart w:id="166" w:name="respond-to-unauthorized-changes-cm-62"/>
    <w:p>
      <w:pPr>
        <w:pStyle w:val="Heading4"/>
      </w:pPr>
      <w:r>
        <w:t xml:space="preserve">Respond to unauthorized changes (CM-6(2))</w:t>
      </w:r>
    </w:p>
    <w:p>
      <w:pPr>
        <w:pStyle w:val="Compact"/>
        <w:numPr>
          <w:ilvl w:val="0"/>
          <w:numId w:val="1118"/>
        </w:numPr>
      </w:pPr>
      <w:r>
        <w:t xml:space="preserve">In response to an unauthorized change to</w:t>
      </w:r>
      <w:r>
        <w:t xml:space="preserve"> </w:t>
      </w:r>
      <w:r>
        <w:rPr>
          <w:rStyle w:val="Fill-in"/>
        </w:rPr>
        <w:t xml:space="preserve">[Fill in: configuration settings requiring action upon an unauthorized change. Typical: security-relevant settings in the baseline configuration]</w:t>
      </w:r>
      <w:r>
        <w:t xml:space="preserve">, the</w:t>
      </w:r>
      <w:r>
        <w:t xml:space="preserve"> </w:t>
      </w:r>
      <w:r>
        <w:rPr>
          <w:rStyle w:val="Fill-in"/>
        </w:rPr>
        <w:t xml:space="preserve">[System owner]</w:t>
      </w:r>
      <w:r>
        <w:t xml:space="preserve"> </w:t>
      </w:r>
      <w:r>
        <w:t xml:space="preserve">shall</w:t>
      </w:r>
      <w:r>
        <w:t xml:space="preserve"> </w:t>
      </w:r>
      <w:r>
        <w:rPr>
          <w:rStyle w:val="Fill-in"/>
        </w:rPr>
        <w:t xml:space="preserve">[Fill in: actions to be taken upon an unauthorized change. Typical: alert the security operations team, restore the approved setting and investigate the change as a potential incident]</w:t>
      </w:r>
      <w:r>
        <w:t xml:space="preserve">. (CM-6(2))</w:t>
      </w:r>
    </w:p>
    <w:bookmarkEnd w:id="166"/>
    <w:bookmarkStart w:id="167" w:name="least-functionality-cm-7"/>
    <w:p>
      <w:pPr>
        <w:pStyle w:val="Heading4"/>
      </w:pPr>
      <w:r>
        <w:t xml:space="preserve">Least functionality (CM-7)</w:t>
      </w:r>
    </w:p>
    <w:p>
      <w:pPr>
        <w:pStyle w:val="Compact"/>
        <w:numPr>
          <w:ilvl w:val="0"/>
          <w:numId w:val="1119"/>
        </w:numPr>
      </w:pPr>
      <w:r>
        <w:t xml:space="preserve">The</w:t>
      </w:r>
      <w:r>
        <w:t xml:space="preserve"> </w:t>
      </w:r>
      <w:r>
        <w:rPr>
          <w:rStyle w:val="Fill-in"/>
        </w:rPr>
        <w:t xml:space="preserve">[System owner]</w:t>
      </w:r>
      <w:r>
        <w:t xml:space="preserve"> </w:t>
      </w:r>
      <w:r>
        <w:t xml:space="preserve">shall configure the system to provide only</w:t>
      </w:r>
      <w:r>
        <w:t xml:space="preserve"> </w:t>
      </w:r>
      <w:r>
        <w:rPr>
          <w:rStyle w:val="Fill-in"/>
        </w:rPr>
        <w:t xml:space="preserve">[Fill in: mission-essential capabilities for the system. Typical: the capabilities documented in the system security plan]</w:t>
      </w:r>
      <w:r>
        <w:t xml:space="preserve">. (CM-7a)</w:t>
      </w:r>
    </w:p>
    <w:p>
      <w:pPr>
        <w:pStyle w:val="Compact"/>
        <w:numPr>
          <w:ilvl w:val="0"/>
          <w:numId w:val="1119"/>
        </w:numPr>
      </w:pPr>
      <w:r>
        <w:t xml:space="preserve">The</w:t>
      </w:r>
      <w:r>
        <w:t xml:space="preserve"> </w:t>
      </w:r>
      <w:r>
        <w:rPr>
          <w:rStyle w:val="Fill-in"/>
        </w:rPr>
        <w:t xml:space="preserve">[System owner]</w:t>
      </w:r>
      <w:r>
        <w:t xml:space="preserve"> </w:t>
      </w:r>
      <w:r>
        <w:t xml:space="preserve">shall prohibit or restrict the use of</w:t>
      </w:r>
      <w:r>
        <w:t xml:space="preserve"> </w:t>
      </w:r>
      <w:r>
        <w:rPr>
          <w:rStyle w:val="Fill-in"/>
        </w:rPr>
        <w:t xml:space="preserve">[Fill in: prohibited or restricted functions, system ports, protocols, software, and/or services. Typical: the functions, ports, protocols, software and services listed as prohibited or restricted in the baseline configuration standard]</w:t>
      </w:r>
      <w:r>
        <w:t xml:space="preserve">. (CM-7b)</w:t>
      </w:r>
    </w:p>
    <w:bookmarkEnd w:id="167"/>
    <w:bookmarkStart w:id="168" w:name="periodic-review-cm-71"/>
    <w:p>
      <w:pPr>
        <w:pStyle w:val="Heading4"/>
      </w:pPr>
      <w:r>
        <w:t xml:space="preserve">Periodic review (CM-7(1))</w:t>
      </w:r>
    </w:p>
    <w:p>
      <w:pPr>
        <w:pStyle w:val="Compact"/>
        <w:numPr>
          <w:ilvl w:val="0"/>
          <w:numId w:val="1120"/>
        </w:numPr>
      </w:pPr>
      <w:r>
        <w:t xml:space="preserve">The</w:t>
      </w:r>
      <w:r>
        <w:t xml:space="preserve"> </w:t>
      </w:r>
      <w:r>
        <w:rPr>
          <w:rStyle w:val="Fill-in"/>
        </w:rPr>
        <w:t xml:space="preserve">[System owner]</w:t>
      </w:r>
      <w:r>
        <w:t xml:space="preserve"> </w:t>
      </w:r>
      <w:r>
        <w:t xml:space="preserve">shall review the system</w:t>
      </w:r>
      <w:r>
        <w:t xml:space="preserve"> </w:t>
      </w:r>
      <w:r>
        <w:rPr>
          <w:rStyle w:val="Fill-in"/>
        </w:rPr>
        <w:t xml:space="preserve">[Fill in: the frequency at which to review the system to identify unnecessary and/or non-secure functions, ports, protocols, software, and/or services. Typical: at least quarterly]</w:t>
      </w:r>
      <w:r>
        <w:t xml:space="preserve"> </w:t>
      </w:r>
      <w:r>
        <w:t xml:space="preserve">to identify unnecessary or nonsecure functions, ports, protocols, software and services. (CM-7(1)(a))</w:t>
      </w:r>
    </w:p>
    <w:p>
      <w:pPr>
        <w:pStyle w:val="Compact"/>
        <w:numPr>
          <w:ilvl w:val="0"/>
          <w:numId w:val="1120"/>
        </w:numPr>
      </w:pPr>
      <w:r>
        <w:t xml:space="preserve">The</w:t>
      </w:r>
      <w:r>
        <w:t xml:space="preserve"> </w:t>
      </w:r>
      <w:r>
        <w:rPr>
          <w:rStyle w:val="Fill-in"/>
        </w:rPr>
        <w:t xml:space="preserve">[System owner]</w:t>
      </w:r>
      <w:r>
        <w:t xml:space="preserve"> </w:t>
      </w:r>
      <w:r>
        <w:t xml:space="preserve">shall disable or remove</w:t>
      </w:r>
      <w:r>
        <w:t xml:space="preserve"> </w:t>
      </w:r>
      <w:r>
        <w:rPr>
          <w:rStyle w:val="Fill-in"/>
        </w:rPr>
        <w:t xml:space="preserve">[Fill in: functions, ports, protocols, software, and services within the system deemed to be unnecessary and/or nonsecure. Typical: any function, port, protocol, software or service the review finds unnecessary or nonsecure]</w:t>
      </w:r>
      <w:r>
        <w:t xml:space="preserve">. (CM-7(1)(b))</w:t>
      </w:r>
    </w:p>
    <w:bookmarkEnd w:id="168"/>
    <w:bookmarkStart w:id="169" w:name="prevent-program-execution-cm-72"/>
    <w:p>
      <w:pPr>
        <w:pStyle w:val="Heading4"/>
      </w:pPr>
      <w:r>
        <w:t xml:space="preserve">Prevent program execution (CM-7(2))</w:t>
      </w:r>
    </w:p>
    <w:p>
      <w:pPr>
        <w:pStyle w:val="Compact"/>
        <w:numPr>
          <w:ilvl w:val="0"/>
          <w:numId w:val="1121"/>
        </w:numPr>
      </w:pPr>
      <w:r>
        <w:t xml:space="preserve">The</w:t>
      </w:r>
      <w:r>
        <w:t xml:space="preserve"> </w:t>
      </w:r>
      <w:r>
        <w:rPr>
          <w:rStyle w:val="Fill-in"/>
        </w:rPr>
        <w:t xml:space="preserve">[System owner]</w:t>
      </w:r>
      <w:r>
        <w:t xml:space="preserve"> </w:t>
      </w:r>
      <w:r>
        <w:t xml:space="preserve">shall ensure the system prevents program execution in accordance with</w:t>
      </w:r>
      <w:r>
        <w:t xml:space="preserve"> </w:t>
      </w:r>
      <w:r>
        <w:rPr>
          <w:rStyle w:val="Fill-in"/>
        </w:rPr>
        <w:t xml:space="preserve">[Select one or more: [Assignment: organization-defined policies, rules of behavior, and/or access agreements regarding software program usage and restrictions]; rules authorizing the terms and conditions of software program usage. Typical: the software rules in this policy, the rules of behavior and the access agreements]</w:t>
      </w:r>
      <w:r>
        <w:t xml:space="preserve">. (CM-7(2))</w:t>
      </w:r>
    </w:p>
    <w:bookmarkEnd w:id="169"/>
    <w:bookmarkStart w:id="170" w:name="Xb02fb18bf80df920007aab8de3d3c20942da66c"/>
    <w:p>
      <w:pPr>
        <w:pStyle w:val="Heading4"/>
      </w:pPr>
      <w:r>
        <w:t xml:space="preserve">Authorized software: allow by exception (CM-7(5))</w:t>
      </w:r>
    </w:p>
    <w:p>
      <w:pPr>
        <w:pStyle w:val="Compact"/>
        <w:numPr>
          <w:ilvl w:val="0"/>
          <w:numId w:val="1122"/>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software programs authorized to execute on the system. Typical: the software on the approved software list for the system]</w:t>
      </w:r>
      <w:r>
        <w:t xml:space="preserve"> </w:t>
      </w:r>
      <w:r>
        <w:t xml:space="preserve">as the software programs authorized to execute on the system. (CM-7(5)(a))</w:t>
      </w:r>
    </w:p>
    <w:p>
      <w:pPr>
        <w:pStyle w:val="Compact"/>
        <w:numPr>
          <w:ilvl w:val="0"/>
          <w:numId w:val="1122"/>
        </w:numPr>
      </w:pPr>
      <w:r>
        <w:t xml:space="preserve">The</w:t>
      </w:r>
      <w:r>
        <w:t xml:space="preserve"> </w:t>
      </w:r>
      <w:r>
        <w:rPr>
          <w:rStyle w:val="Fill-in"/>
        </w:rPr>
        <w:t xml:space="preserve">[System owner]</w:t>
      </w:r>
      <w:r>
        <w:t xml:space="preserve"> </w:t>
      </w:r>
      <w:r>
        <w:t xml:space="preserve">shall employ a deny-all, permit-by-exception policy to allow only authorized software programs to execute. (CM-7(5)(b))</w:t>
      </w:r>
    </w:p>
    <w:p>
      <w:pPr>
        <w:pStyle w:val="Compact"/>
        <w:numPr>
          <w:ilvl w:val="0"/>
          <w:numId w:val="1122"/>
        </w:numPr>
      </w:pPr>
      <w:r>
        <w:t xml:space="preserve">The</w:t>
      </w:r>
      <w:r>
        <w:t xml:space="preserve"> </w:t>
      </w:r>
      <w:r>
        <w:rPr>
          <w:rStyle w:val="Fill-in"/>
        </w:rPr>
        <w:t xml:space="preserve">[System owner]</w:t>
      </w:r>
      <w:r>
        <w:t xml:space="preserve"> </w:t>
      </w:r>
      <w:r>
        <w:t xml:space="preserve">shall review and update the list of authorized software programs</w:t>
      </w:r>
      <w:r>
        <w:t xml:space="preserve"> </w:t>
      </w:r>
      <w:r>
        <w:rPr>
          <w:rStyle w:val="Fill-in"/>
        </w:rPr>
        <w:t xml:space="preserve">[Fill in: frequency at which to review and update the list of authorized software programs. Typical: at least quarterly]</w:t>
      </w:r>
      <w:r>
        <w:t xml:space="preserve">. (CM-7(5)(c))</w:t>
      </w:r>
    </w:p>
    <w:bookmarkEnd w:id="170"/>
    <w:bookmarkStart w:id="171" w:name="system-component-inventory-cm-8"/>
    <w:p>
      <w:pPr>
        <w:pStyle w:val="Heading4"/>
      </w:pPr>
      <w:r>
        <w:t xml:space="preserve">System component inventory (CM-8)</w:t>
      </w:r>
    </w:p>
    <w:p>
      <w:pPr>
        <w:pStyle w:val="Compact"/>
        <w:numPr>
          <w:ilvl w:val="0"/>
          <w:numId w:val="1123"/>
        </w:numPr>
      </w:pPr>
      <w:r>
        <w:t xml:space="preserve">The</w:t>
      </w:r>
      <w:r>
        <w:t xml:space="preserve"> </w:t>
      </w:r>
      <w:r>
        <w:rPr>
          <w:rStyle w:val="Fill-in"/>
        </w:rPr>
        <w:t xml:space="preserve">[System owner]</w:t>
      </w:r>
      <w:r>
        <w:t xml:space="preserve"> </w:t>
      </w:r>
      <w:r>
        <w:t xml:space="preserve">shall develop and document an inventory of system components that accurately reflects the system and includes all its components. (CM-8a.1, a.2)</w:t>
      </w:r>
    </w:p>
    <w:p>
      <w:pPr>
        <w:pStyle w:val="Compact"/>
        <w:numPr>
          <w:ilvl w:val="0"/>
          <w:numId w:val="1123"/>
        </w:numPr>
      </w:pPr>
      <w:r>
        <w:t xml:space="preserve">The</w:t>
      </w:r>
      <w:r>
        <w:t xml:space="preserve"> </w:t>
      </w:r>
      <w:r>
        <w:rPr>
          <w:rStyle w:val="Fill-in"/>
        </w:rPr>
        <w:t xml:space="preserve">[System owner]</w:t>
      </w:r>
      <w:r>
        <w:t xml:space="preserve"> </w:t>
      </w:r>
      <w:r>
        <w:t xml:space="preserve">shall ensure the inventory has no duplicate accounting of components and no components assigned to another system. (CM-8a.3)</w:t>
      </w:r>
    </w:p>
    <w:p>
      <w:pPr>
        <w:pStyle w:val="Compact"/>
        <w:numPr>
          <w:ilvl w:val="0"/>
          <w:numId w:val="1123"/>
        </w:numPr>
      </w:pPr>
      <w:r>
        <w:t xml:space="preserve">The</w:t>
      </w:r>
      <w:r>
        <w:t xml:space="preserve"> </w:t>
      </w:r>
      <w:r>
        <w:rPr>
          <w:rStyle w:val="Fill-in"/>
        </w:rPr>
        <w:t xml:space="preserve">[System owner]</w:t>
      </w:r>
      <w:r>
        <w:t xml:space="preserve"> </w:t>
      </w:r>
      <w:r>
        <w:t xml:space="preserve">shall ensure the inventory is at the level of granularity needed for tracking and reporting. (CM-8a.4)</w:t>
      </w:r>
    </w:p>
    <w:p>
      <w:pPr>
        <w:pStyle w:val="Compact"/>
        <w:numPr>
          <w:ilvl w:val="0"/>
          <w:numId w:val="1123"/>
        </w:numPr>
      </w:pPr>
      <w:r>
        <w:t xml:space="preserve">The</w:t>
      </w:r>
      <w:r>
        <w:t xml:space="preserve"> </w:t>
      </w:r>
      <w:r>
        <w:rPr>
          <w:rStyle w:val="Fill-in"/>
        </w:rPr>
        <w:t xml:space="preserve">[System owner]</w:t>
      </w:r>
      <w:r>
        <w:t xml:space="preserve"> </w:t>
      </w:r>
      <w:r>
        <w:t xml:space="preserve">shall ensure the inventory includes</w:t>
      </w:r>
      <w:r>
        <w:t xml:space="preserve"> </w:t>
      </w:r>
      <w:r>
        <w:rPr>
          <w:rStyle w:val="Fill-in"/>
        </w:rPr>
        <w:t xml:space="preserve">[Fill in: information deemed necessary to achieve effective system component accountability. Typical: name, type, manufacturer and model, serial number or asset tag, software version, location, network address, owner and administrator]</w:t>
      </w:r>
      <w:r>
        <w:t xml:space="preserve"> </w:t>
      </w:r>
      <w:r>
        <w:t xml:space="preserve">for each component. (CM-8a.5)</w:t>
      </w:r>
    </w:p>
    <w:p>
      <w:pPr>
        <w:pStyle w:val="Compact"/>
        <w:numPr>
          <w:ilvl w:val="0"/>
          <w:numId w:val="1123"/>
        </w:numPr>
      </w:pPr>
      <w:r>
        <w:t xml:space="preserve">The</w:t>
      </w:r>
      <w:r>
        <w:t xml:space="preserve"> </w:t>
      </w:r>
      <w:r>
        <w:rPr>
          <w:rStyle w:val="Fill-in"/>
        </w:rPr>
        <w:t xml:space="preserve">[System owner]</w:t>
      </w:r>
      <w:r>
        <w:t xml:space="preserve"> </w:t>
      </w:r>
      <w:r>
        <w:t xml:space="preserve">shall review and update the inventory</w:t>
      </w:r>
      <w:r>
        <w:t xml:space="preserve"> </w:t>
      </w:r>
      <w:r>
        <w:rPr>
          <w:rStyle w:val="Fill-in"/>
        </w:rPr>
        <w:t xml:space="preserve">[Fill in: frequency at which to review and update the system component inventory. Typical: at least quarterly]</w:t>
      </w:r>
      <w:r>
        <w:t xml:space="preserve">. (CM-8b)</w:t>
      </w:r>
    </w:p>
    <w:bookmarkEnd w:id="171"/>
    <w:bookmarkStart w:id="172" w:name="X037f6ebdc983fc188696a0aa778f294d1911207"/>
    <w:p>
      <w:pPr>
        <w:pStyle w:val="Heading4"/>
      </w:pPr>
      <w:r>
        <w:t xml:space="preserve">Updates during installation and removal (CM-8(1))</w:t>
      </w:r>
    </w:p>
    <w:p>
      <w:pPr>
        <w:pStyle w:val="Compact"/>
        <w:numPr>
          <w:ilvl w:val="0"/>
          <w:numId w:val="1124"/>
        </w:numPr>
      </w:pPr>
      <w:r>
        <w:t xml:space="preserve">The</w:t>
      </w:r>
      <w:r>
        <w:t xml:space="preserve"> </w:t>
      </w:r>
      <w:r>
        <w:rPr>
          <w:rStyle w:val="Fill-in"/>
        </w:rPr>
        <w:t xml:space="preserve">[System owner]</w:t>
      </w:r>
      <w:r>
        <w:t xml:space="preserve"> </w:t>
      </w:r>
      <w:r>
        <w:t xml:space="preserve">shall update the component inventory as part of component installations, removals and system updates. (CM-8(1))</w:t>
      </w:r>
    </w:p>
    <w:bookmarkEnd w:id="172"/>
    <w:bookmarkStart w:id="173" w:name="automated-maintenance-cm-82"/>
    <w:p>
      <w:pPr>
        <w:pStyle w:val="Heading4"/>
      </w:pPr>
      <w:r>
        <w:t xml:space="preserve">Automated maintenance (CM-8(2))</w:t>
      </w:r>
    </w:p>
    <w:p>
      <w:pPr>
        <w:pStyle w:val="Compact"/>
        <w:numPr>
          <w:ilvl w:val="0"/>
          <w:numId w:val="1125"/>
        </w:numPr>
      </w:pPr>
      <w:r>
        <w:t xml:space="preserve">The</w:t>
      </w:r>
      <w:r>
        <w:t xml:space="preserve"> </w:t>
      </w:r>
      <w:r>
        <w:rPr>
          <w:rStyle w:val="Fill-in"/>
        </w:rPr>
        <w:t xml:space="preserve">[System owner]</w:t>
      </w:r>
      <w:r>
        <w:t xml:space="preserve"> </w:t>
      </w:r>
      <w:r>
        <w:t xml:space="preserve">shall maintain the currency, completeness, accuracy and availability of the component inventory using</w:t>
      </w:r>
      <w:r>
        <w:t xml:space="preserve"> </w:t>
      </w:r>
      <w:r>
        <w:rPr>
          <w:rStyle w:val="Fill-in"/>
        </w:rPr>
        <w:t xml:space="preserve">[Fill in: automated mechanisms. Typical: asset discovery and endpoint management tools that feed the inventory]</w:t>
      </w:r>
      <w:r>
        <w:t xml:space="preserve">. (CM-8(2))</w:t>
      </w:r>
    </w:p>
    <w:bookmarkEnd w:id="173"/>
    <w:bookmarkStart w:id="174" w:name="X306db1c42e7be1665ec1cbf062cc9177c5bf598"/>
    <w:p>
      <w:pPr>
        <w:pStyle w:val="Heading4"/>
      </w:pPr>
      <w:r>
        <w:t xml:space="preserve">Automated unauthorized component detection (CM-8(3))</w:t>
      </w:r>
    </w:p>
    <w:p>
      <w:pPr>
        <w:pStyle w:val="Compact"/>
        <w:numPr>
          <w:ilvl w:val="0"/>
          <w:numId w:val="1126"/>
        </w:numPr>
      </w:pPr>
      <w:r>
        <w:t xml:space="preserve">The</w:t>
      </w:r>
      <w:r>
        <w:t xml:space="preserve"> </w:t>
      </w:r>
      <w:r>
        <w:rPr>
          <w:rStyle w:val="Fill-in"/>
        </w:rPr>
        <w:t xml:space="preserve">[System owner]</w:t>
      </w:r>
      <w:r>
        <w:t xml:space="preserve"> </w:t>
      </w:r>
      <w:r>
        <w:t xml:space="preserve">shall detect the presence of unauthorized hardware, software and firmware components using</w:t>
      </w:r>
      <w:r>
        <w:t xml:space="preserve"> </w:t>
      </w:r>
      <w:r>
        <w:rPr>
          <w:rStyle w:val="Fill-in"/>
        </w:rPr>
        <w:t xml:space="preserve">[Fill in: automated mechanisms. Typical: network access control, asset discovery scans and endpoint management tools]</w:t>
      </w:r>
      <w:r>
        <w:t xml:space="preserve"> </w:t>
      </w:r>
      <w:r>
        <w:rPr>
          <w:rStyle w:val="Fill-in"/>
        </w:rPr>
        <w:t xml:space="preserve">[Fill in: frequency at which automated mechanisms are used to detect the presence of unauthorized system components within the system. Typical: continuously, and at least weekly by scan]</w:t>
      </w:r>
      <w:r>
        <w:t xml:space="preserve">. (CM-8(3)(a))</w:t>
      </w:r>
    </w:p>
    <w:p>
      <w:pPr>
        <w:pStyle w:val="Compact"/>
        <w:numPr>
          <w:ilvl w:val="0"/>
          <w:numId w:val="1126"/>
        </w:numPr>
      </w:pPr>
      <w:r>
        <w:t xml:space="preserve">When unauthorized components are detected, the</w:t>
      </w:r>
      <w:r>
        <w:t xml:space="preserve"> </w:t>
      </w:r>
      <w:r>
        <w:rPr>
          <w:rStyle w:val="Fill-in"/>
        </w:rPr>
        <w:t xml:space="preserve">[System owner]</w:t>
      </w:r>
      <w:r>
        <w:t xml:space="preserve"> </w:t>
      </w:r>
      <w:r>
        <w:t xml:space="preserve">shall</w:t>
      </w:r>
      <w:r>
        <w:t xml:space="preserve"> </w:t>
      </w:r>
      <w:r>
        <w:rPr>
          <w:rStyle w:val="Fill-in"/>
        </w:rPr>
        <w:t xml:space="preserve">[Select one or more: disable network access by unauthorized components; isolate unauthorized components; notify [Assignment: organization-defined personnel or roles]. Typical: disable network access by unauthorized components, and notify the security operations team]</w:t>
      </w:r>
      <w:r>
        <w:t xml:space="preserve">. (CM-8(3)(b))</w:t>
      </w:r>
    </w:p>
    <w:bookmarkEnd w:id="174"/>
    <w:bookmarkStart w:id="175" w:name="accountability-information-cm-84"/>
    <w:p>
      <w:pPr>
        <w:pStyle w:val="Heading4"/>
      </w:pPr>
      <w:r>
        <w:t xml:space="preserve">Accountability information (CM-8(4))</w:t>
      </w:r>
    </w:p>
    <w:p>
      <w:pPr>
        <w:pStyle w:val="Compact"/>
        <w:numPr>
          <w:ilvl w:val="0"/>
          <w:numId w:val="1127"/>
        </w:numPr>
      </w:pPr>
      <w:r>
        <w:t xml:space="preserve">The</w:t>
      </w:r>
      <w:r>
        <w:t xml:space="preserve"> </w:t>
      </w:r>
      <w:r>
        <w:rPr>
          <w:rStyle w:val="Fill-in"/>
        </w:rPr>
        <w:t xml:space="preserve">[System owner]</w:t>
      </w:r>
      <w:r>
        <w:t xml:space="preserve"> </w:t>
      </w:r>
      <w:r>
        <w:t xml:space="preserve">shall ensure the component inventory identifies, by</w:t>
      </w:r>
      <w:r>
        <w:t xml:space="preserve"> </w:t>
      </w:r>
      <w:r>
        <w:rPr>
          <w:rStyle w:val="Fill-in"/>
        </w:rPr>
        <w:t xml:space="preserve">[Select one or more: name; position; role. Typical: role]</w:t>
      </w:r>
      <w:r>
        <w:t xml:space="preserve">, the individuals responsible and accountable for administering each component. (CM-8(4))</w:t>
      </w:r>
    </w:p>
    <w:bookmarkEnd w:id="175"/>
    <w:bookmarkStart w:id="176" w:name="configuration-management-plan-cm-9"/>
    <w:p>
      <w:pPr>
        <w:pStyle w:val="Heading4"/>
      </w:pPr>
      <w:r>
        <w:t xml:space="preserve">Configuration management plan (CM-9)</w:t>
      </w:r>
    </w:p>
    <w:p>
      <w:pPr>
        <w:pStyle w:val="Compact"/>
        <w:numPr>
          <w:ilvl w:val="0"/>
          <w:numId w:val="1128"/>
        </w:numPr>
      </w:pPr>
      <w:r>
        <w:t xml:space="preserve">The</w:t>
      </w:r>
      <w:r>
        <w:t xml:space="preserve"> </w:t>
      </w:r>
      <w:r>
        <w:rPr>
          <w:rStyle w:val="Fill-in"/>
        </w:rPr>
        <w:t xml:space="preserve">[System owner]</w:t>
      </w:r>
      <w:r>
        <w:t xml:space="preserve"> </w:t>
      </w:r>
      <w:r>
        <w:t xml:space="preserve">shall develop, document and implement a configuration management plan for the system that addresses roles, responsibilities, and configuration management processes and procedures. (CM-9a)</w:t>
      </w:r>
    </w:p>
    <w:p>
      <w:pPr>
        <w:pStyle w:val="Compact"/>
        <w:numPr>
          <w:ilvl w:val="0"/>
          <w:numId w:val="1128"/>
        </w:numPr>
      </w:pPr>
      <w:r>
        <w:t xml:space="preserve">The</w:t>
      </w:r>
      <w:r>
        <w:t xml:space="preserve"> </w:t>
      </w:r>
      <w:r>
        <w:rPr>
          <w:rStyle w:val="Fill-in"/>
        </w:rPr>
        <w:t xml:space="preserve">[System owner]</w:t>
      </w:r>
      <w:r>
        <w:t xml:space="preserve"> </w:t>
      </w:r>
      <w:r>
        <w:t xml:space="preserve">shall ensure the plan establishes a process for identifying configuration items throughout the system development life cycle and for managing their configuration. (CM-9b)</w:t>
      </w:r>
    </w:p>
    <w:p>
      <w:pPr>
        <w:pStyle w:val="Compact"/>
        <w:numPr>
          <w:ilvl w:val="0"/>
          <w:numId w:val="1128"/>
        </w:numPr>
      </w:pPr>
      <w:r>
        <w:t xml:space="preserve">The</w:t>
      </w:r>
      <w:r>
        <w:t xml:space="preserve"> </w:t>
      </w:r>
      <w:r>
        <w:rPr>
          <w:rStyle w:val="Fill-in"/>
        </w:rPr>
        <w:t xml:space="preserve">[System owner]</w:t>
      </w:r>
      <w:r>
        <w:t xml:space="preserve"> </w:t>
      </w:r>
      <w:r>
        <w:t xml:space="preserve">shall ensure the plan defines the configuration items for the system and places them under configuration management. (CM-9c)</w:t>
      </w:r>
    </w:p>
    <w:p>
      <w:pPr>
        <w:pStyle w:val="Compact"/>
        <w:numPr>
          <w:ilvl w:val="0"/>
          <w:numId w:val="1128"/>
        </w:numPr>
      </w:pPr>
      <w:r>
        <w:t xml:space="preserve">The plan shall be reviewed and approved by</w:t>
      </w:r>
      <w:r>
        <w:t xml:space="preserve"> </w:t>
      </w:r>
      <w:r>
        <w:rPr>
          <w:rStyle w:val="Fill-in"/>
        </w:rPr>
        <w:t xml:space="preserve">[Fill in: personnel or roles to review and approve the configuration management plan. Typical: the system owner and the Chief Information Security Officer]</w:t>
      </w:r>
      <w:r>
        <w:t xml:space="preserve">. (CM-9d)</w:t>
      </w:r>
    </w:p>
    <w:p>
      <w:pPr>
        <w:pStyle w:val="Compact"/>
        <w:numPr>
          <w:ilvl w:val="0"/>
          <w:numId w:val="1128"/>
        </w:numPr>
      </w:pPr>
      <w:r>
        <w:t xml:space="preserve">The</w:t>
      </w:r>
      <w:r>
        <w:t xml:space="preserve"> </w:t>
      </w:r>
      <w:r>
        <w:rPr>
          <w:rStyle w:val="Fill-in"/>
        </w:rPr>
        <w:t xml:space="preserve">[System owner]</w:t>
      </w:r>
      <w:r>
        <w:t xml:space="preserve"> </w:t>
      </w:r>
      <w:r>
        <w:t xml:space="preserve">shall protect the plan from unauthorized disclosure and modification. (CM-9e)</w:t>
      </w:r>
    </w:p>
    <w:bookmarkEnd w:id="176"/>
    <w:bookmarkStart w:id="177" w:name="software-usage-restrictions-cm-10"/>
    <w:p>
      <w:pPr>
        <w:pStyle w:val="Heading4"/>
      </w:pPr>
      <w:r>
        <w:t xml:space="preserve">Software usage restrictions (CM-10)</w:t>
      </w:r>
    </w:p>
    <w:p>
      <w:pPr>
        <w:pStyle w:val="Compact"/>
        <w:numPr>
          <w:ilvl w:val="0"/>
          <w:numId w:val="1129"/>
        </w:numPr>
      </w:pPr>
      <w:r>
        <w:t xml:space="preserve">Users shall use software and its documentation in accordance with contract agreements and copyright laws. (CM-10a)</w:t>
      </w:r>
    </w:p>
    <w:p>
      <w:pPr>
        <w:pStyle w:val="Compact"/>
        <w:numPr>
          <w:ilvl w:val="0"/>
          <w:numId w:val="1129"/>
        </w:numPr>
      </w:pPr>
      <w:r>
        <w:t xml:space="preserve">The</w:t>
      </w:r>
      <w:r>
        <w:t xml:space="preserve"> </w:t>
      </w:r>
      <w:r>
        <w:rPr>
          <w:rStyle w:val="Fill-in"/>
        </w:rPr>
        <w:t xml:space="preserve">[System owner]</w:t>
      </w:r>
      <w:r>
        <w:t xml:space="preserve"> </w:t>
      </w:r>
      <w:r>
        <w:t xml:space="preserve">shall track the use of software and documentation protected by quantity licenses to control copying and distribution. (CM-10b)</w:t>
      </w:r>
    </w:p>
    <w:p>
      <w:pPr>
        <w:pStyle w:val="Compact"/>
        <w:numPr>
          <w:ilvl w:val="0"/>
          <w:numId w:val="1129"/>
        </w:numPr>
      </w:pPr>
      <w:r>
        <w:t xml:space="preserve">The</w:t>
      </w:r>
      <w:r>
        <w:t xml:space="preserve"> </w:t>
      </w:r>
      <w:r>
        <w:rPr>
          <w:rStyle w:val="Fill-in"/>
        </w:rPr>
        <w:t xml:space="preserve">[System owner]</w:t>
      </w:r>
      <w:r>
        <w:t xml:space="preserve"> </w:t>
      </w:r>
      <w:r>
        <w:t xml:space="preserve">shall control and document the use of peer-to-peer file sharing technology so that it is not used for unauthorized distribution, display, performance or reproduction of copyrighted work. (CM-10c)</w:t>
      </w:r>
    </w:p>
    <w:bookmarkEnd w:id="177"/>
    <w:bookmarkStart w:id="178" w:name="user-installed-software-cm-11"/>
    <w:p>
      <w:pPr>
        <w:pStyle w:val="Heading4"/>
      </w:pPr>
      <w:r>
        <w:t xml:space="preserve">User-installed software (CM-11)</w:t>
      </w:r>
    </w:p>
    <w:p>
      <w:pPr>
        <w:pStyle w:val="Compact"/>
        <w:numPr>
          <w:ilvl w:val="0"/>
          <w:numId w:val="1130"/>
        </w:numPr>
      </w:pPr>
      <w:r>
        <w:t xml:space="preserve">The</w:t>
      </w:r>
      <w:r>
        <w:t xml:space="preserve"> </w:t>
      </w:r>
      <w:r>
        <w:rPr>
          <w:rStyle w:val="Fill-in"/>
        </w:rPr>
        <w:t xml:space="preserve">[Chief Information Security Officer]</w:t>
      </w:r>
      <w:r>
        <w:t xml:space="preserve"> </w:t>
      </w:r>
      <w:r>
        <w:t xml:space="preserve">shall establish the following rules for software installation by users:</w:t>
      </w:r>
      <w:r>
        <w:t xml:space="preserve"> </w:t>
      </w:r>
      <w:r>
        <w:rPr>
          <w:rStyle w:val="Fill-in"/>
        </w:rPr>
        <w:t xml:space="preserve">[Fill in: policies governing the installation of software by users. Typical: users may install only software from the organization’s approved software catalog; all other installation requires approval by the system owner]</w:t>
      </w:r>
      <w:r>
        <w:t xml:space="preserve">. (CM-11a)</w:t>
      </w:r>
    </w:p>
    <w:p>
      <w:pPr>
        <w:pStyle w:val="Compact"/>
        <w:numPr>
          <w:ilvl w:val="0"/>
          <w:numId w:val="1130"/>
        </w:numPr>
      </w:pPr>
      <w:r>
        <w:t xml:space="preserve">The</w:t>
      </w:r>
      <w:r>
        <w:t xml:space="preserve"> </w:t>
      </w:r>
      <w:r>
        <w:rPr>
          <w:rStyle w:val="Fill-in"/>
        </w:rPr>
        <w:t xml:space="preserve">[System owner]</w:t>
      </w:r>
      <w:r>
        <w:t xml:space="preserve"> </w:t>
      </w:r>
      <w:r>
        <w:t xml:space="preserve">shall enforce those rules through</w:t>
      </w:r>
      <w:r>
        <w:t xml:space="preserve"> </w:t>
      </w:r>
      <w:r>
        <w:rPr>
          <w:rStyle w:val="Fill-in"/>
        </w:rPr>
        <w:t xml:space="preserve">[Fill in: methods used to enforce software installation policies. Typical: removing local administrator rights and using an application allow list]</w:t>
      </w:r>
      <w:r>
        <w:t xml:space="preserve">. (CM-11b)</w:t>
      </w:r>
    </w:p>
    <w:p>
      <w:pPr>
        <w:pStyle w:val="Compact"/>
        <w:numPr>
          <w:ilvl w:val="0"/>
          <w:numId w:val="1130"/>
        </w:numPr>
      </w:pPr>
      <w:r>
        <w:t xml:space="preserve">The</w:t>
      </w:r>
      <w:r>
        <w:t xml:space="preserve"> </w:t>
      </w:r>
      <w:r>
        <w:rPr>
          <w:rStyle w:val="Fill-in"/>
        </w:rPr>
        <w:t xml:space="preserve">[System owner]</w:t>
      </w:r>
      <w:r>
        <w:t xml:space="preserve"> </w:t>
      </w:r>
      <w:r>
        <w:t xml:space="preserve">shall monitor compliance with those rules</w:t>
      </w:r>
      <w:r>
        <w:t xml:space="preserve"> </w:t>
      </w:r>
      <w:r>
        <w:rPr>
          <w:rStyle w:val="Fill-in"/>
        </w:rPr>
        <w:t xml:space="preserve">[Fill in: frequency with which to monitor compliance. Typical: at least monthly]</w:t>
      </w:r>
      <w:r>
        <w:t xml:space="preserve">. (CM-11c)</w:t>
      </w:r>
    </w:p>
    <w:bookmarkEnd w:id="178"/>
    <w:bookmarkStart w:id="179" w:name="information-location-cm-12"/>
    <w:p>
      <w:pPr>
        <w:pStyle w:val="Heading4"/>
      </w:pPr>
      <w:r>
        <w:t xml:space="preserve">Information location (CM-12)</w:t>
      </w:r>
    </w:p>
    <w:p>
      <w:pPr>
        <w:pStyle w:val="Compact"/>
        <w:numPr>
          <w:ilvl w:val="0"/>
          <w:numId w:val="1131"/>
        </w:numPr>
      </w:pPr>
      <w:r>
        <w:t xml:space="preserve">The</w:t>
      </w:r>
      <w:r>
        <w:t xml:space="preserve"> </w:t>
      </w:r>
      <w:r>
        <w:rPr>
          <w:rStyle w:val="Fill-in"/>
        </w:rPr>
        <w:t xml:space="preserve">[System owner]</w:t>
      </w:r>
      <w:r>
        <w:t xml:space="preserve"> </w:t>
      </w:r>
      <w:r>
        <w:t xml:space="preserve">shall identify and document the location of</w:t>
      </w:r>
      <w:r>
        <w:t xml:space="preserve"> </w:t>
      </w:r>
      <w:r>
        <w:rPr>
          <w:rStyle w:val="Fill-in"/>
        </w:rPr>
        <w:t xml:space="preserve">[Fill in: information for which the location is to be identified and documented. Typical: the information types listed in the system security plan]</w:t>
      </w:r>
      <w:r>
        <w:t xml:space="preserve"> </w:t>
      </w:r>
      <w:r>
        <w:t xml:space="preserve">and the specific components on which it is processed and stored. (CM-12a)</w:t>
      </w:r>
    </w:p>
    <w:p>
      <w:pPr>
        <w:pStyle w:val="Compact"/>
        <w:numPr>
          <w:ilvl w:val="0"/>
          <w:numId w:val="1131"/>
        </w:numPr>
      </w:pPr>
      <w:r>
        <w:t xml:space="preserve">The</w:t>
      </w:r>
      <w:r>
        <w:t xml:space="preserve"> </w:t>
      </w:r>
      <w:r>
        <w:rPr>
          <w:rStyle w:val="Fill-in"/>
        </w:rPr>
        <w:t xml:space="preserve">[System owner]</w:t>
      </w:r>
      <w:r>
        <w:t xml:space="preserve"> </w:t>
      </w:r>
      <w:r>
        <w:t xml:space="preserve">shall identify and document the users who have access to the system and components where that information is processed and stored. (CM-12b)</w:t>
      </w:r>
    </w:p>
    <w:p>
      <w:pPr>
        <w:pStyle w:val="Compact"/>
        <w:numPr>
          <w:ilvl w:val="0"/>
          <w:numId w:val="1131"/>
        </w:numPr>
      </w:pPr>
      <w:r>
        <w:t xml:space="preserve">The</w:t>
      </w:r>
      <w:r>
        <w:t xml:space="preserve"> </w:t>
      </w:r>
      <w:r>
        <w:rPr>
          <w:rStyle w:val="Fill-in"/>
        </w:rPr>
        <w:t xml:space="preserve">[System owner]</w:t>
      </w:r>
      <w:r>
        <w:t xml:space="preserve"> </w:t>
      </w:r>
      <w:r>
        <w:t xml:space="preserve">shall document changes to the location where that information is processed and stored. (CM-12c)</w:t>
      </w:r>
    </w:p>
    <w:bookmarkEnd w:id="179"/>
    <w:bookmarkStart w:id="180" w:name="Xe6362046de8360729079cc0627d549a80d3cf5e"/>
    <w:p>
      <w:pPr>
        <w:pStyle w:val="Heading4"/>
      </w:pPr>
      <w:r>
        <w:t xml:space="preserve">Automated tools to support information location (CM-12(1))</w:t>
      </w:r>
    </w:p>
    <w:p>
      <w:pPr>
        <w:pStyle w:val="Compact"/>
        <w:numPr>
          <w:ilvl w:val="0"/>
          <w:numId w:val="1132"/>
        </w:numPr>
      </w:pPr>
      <w:r>
        <w:t xml:space="preserve">The</w:t>
      </w:r>
      <w:r>
        <w:t xml:space="preserve"> </w:t>
      </w:r>
      <w:r>
        <w:rPr>
          <w:rStyle w:val="Fill-in"/>
        </w:rPr>
        <w:t xml:space="preserve">[System owner]</w:t>
      </w:r>
      <w:r>
        <w:t xml:space="preserve"> </w:t>
      </w:r>
      <w:r>
        <w:t xml:space="preserve">shall use automated tools to identify</w:t>
      </w:r>
      <w:r>
        <w:t xml:space="preserve"> </w:t>
      </w:r>
      <w:r>
        <w:rPr>
          <w:rStyle w:val="Fill-in"/>
        </w:rPr>
        <w:t xml:space="preserve">[Fill in: information to be protected is defined by information type. Typical: personal information and other sensitive information types listed in the system security plan]</w:t>
      </w:r>
      <w:r>
        <w:t xml:space="preserve"> </w:t>
      </w:r>
      <w:r>
        <w:t xml:space="preserve">on</w:t>
      </w:r>
      <w:r>
        <w:t xml:space="preserve"> </w:t>
      </w:r>
      <w:r>
        <w:rPr>
          <w:rStyle w:val="Fill-in"/>
        </w:rPr>
        <w:t xml:space="preserve">[Fill in: system components where the information is located. Typical: file shares, databases, cloud storage and endpoints]</w:t>
      </w:r>
      <w:r>
        <w:t xml:space="preserve"> </w:t>
      </w:r>
      <w:r>
        <w:t xml:space="preserve">to confirm controls are in place to protect organizational information and individual privacy. (CM-12(1))</w:t>
      </w:r>
    </w:p>
    <w:bookmarkEnd w:id="180"/>
    <w:bookmarkEnd w:id="181"/>
    <w:bookmarkStart w:id="224" w:name="contingency-planning-cp"/>
    <w:p>
      <w:pPr>
        <w:pStyle w:val="Heading3"/>
      </w:pPr>
      <w:r>
        <w:t xml:space="preserve">Contingency Planning (CP)</w:t>
      </w:r>
    </w:p>
    <w:bookmarkStart w:id="184" w:name="contingency-plan-cp-2"/>
    <w:p>
      <w:pPr>
        <w:pStyle w:val="Heading4"/>
      </w:pPr>
      <w:r>
        <w:t xml:space="preserve">Contingency plan (CP-2)</w:t>
      </w:r>
    </w:p>
    <w:p>
      <w:pPr>
        <w:pStyle w:val="Guidance"/>
      </w:pPr>
      <w:r>
        <w:t xml:space="preserve">The contingency plan says how a system is kept going, or brought back, after a disruption, compromise or failure. Base it on a</w:t>
      </w:r>
      <w:r>
        <w:t xml:space="preserve"> </w:t>
      </w:r>
      <w:hyperlink r:id="rId182">
        <w:r>
          <w:rPr>
            <w:rStyle w:val="Hyperlink"/>
          </w:rPr>
          <w:t xml:space="preserve">business impact analysis</w:t>
        </w:r>
      </w:hyperlink>
      <w:r>
        <w:t xml:space="preserve">, which sets the recovery objectives. The</w:t>
      </w:r>
      <w:r>
        <w:t xml:space="preserve"> </w:t>
      </w:r>
      <w:hyperlink r:id="rId183">
        <w:r>
          <w:rPr>
            <w:rStyle w:val="Hyperlink"/>
          </w:rPr>
          <w:t xml:space="preserve">Information System Contingency Plan template</w:t>
        </w:r>
      </w:hyperlink>
      <w:r>
        <w:t xml:space="preserve"> </w:t>
      </w:r>
      <w:r>
        <w:t xml:space="preserve">follows NIST SP 800-34 Rev. 1 and covers each element of CP-2a.</w:t>
      </w:r>
    </w:p>
    <w:p>
      <w:pPr>
        <w:pStyle w:val="Compact"/>
        <w:numPr>
          <w:ilvl w:val="0"/>
          <w:numId w:val="1133"/>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133"/>
        </w:numPr>
      </w:pPr>
      <w:r>
        <w:t xml:space="preserve">The contingency plan shall provide recovery objectives, restoration priorities and metrics. (CP-2a.2)</w:t>
      </w:r>
    </w:p>
    <w:p>
      <w:pPr>
        <w:pStyle w:val="Compact"/>
        <w:numPr>
          <w:ilvl w:val="0"/>
          <w:numId w:val="1133"/>
        </w:numPr>
      </w:pPr>
      <w:r>
        <w:t xml:space="preserve">The contingency plan shall set out contingency roles and responsibilities, and the assigned individuals with their contact information. (CP-2a.3)</w:t>
      </w:r>
    </w:p>
    <w:p>
      <w:pPr>
        <w:pStyle w:val="Compact"/>
        <w:numPr>
          <w:ilvl w:val="0"/>
          <w:numId w:val="1133"/>
        </w:numPr>
      </w:pPr>
      <w:r>
        <w:t xml:space="preserve">The contingency plan shall address maintaining essential mission and business functions despite a system disruption, compromise or failure. (CP-2a.4)</w:t>
      </w:r>
    </w:p>
    <w:p>
      <w:pPr>
        <w:pStyle w:val="Compact"/>
        <w:numPr>
          <w:ilvl w:val="0"/>
          <w:numId w:val="1133"/>
        </w:numPr>
      </w:pPr>
      <w:r>
        <w:t xml:space="preserve">The contingency plan shall address eventual, full system restoration without deterioration of the controls originally planned and implemented. (CP-2a.5)</w:t>
      </w:r>
    </w:p>
    <w:p>
      <w:pPr>
        <w:pStyle w:val="Compact"/>
        <w:numPr>
          <w:ilvl w:val="0"/>
          <w:numId w:val="1133"/>
        </w:numPr>
      </w:pPr>
      <w:r>
        <w:t xml:space="preserve">The contingency plan shall address the sharing of contingency information. (CP-2a.6)</w:t>
      </w:r>
    </w:p>
    <w:p>
      <w:pPr>
        <w:pStyle w:val="Compact"/>
        <w:numPr>
          <w:ilvl w:val="0"/>
          <w:numId w:val="1133"/>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133"/>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133"/>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133"/>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133"/>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133"/>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133"/>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133"/>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184"/>
    <w:bookmarkStart w:id="185" w:name="coordinate-with-related-plans-cp-21"/>
    <w:p>
      <w:pPr>
        <w:pStyle w:val="Heading4"/>
      </w:pPr>
      <w:r>
        <w:t xml:space="preserve">Coordinate with related plans (CP-2(1))</w:t>
      </w:r>
    </w:p>
    <w:p>
      <w:pPr>
        <w:pStyle w:val="Guidance"/>
      </w:pPr>
      <w:r>
        <w:t xml:space="preserve">Related plans include the business continuity plan, the continuity of operations plan, the disaster recovery plan, the incident response plan and the crisis communications plan. Coordination means the plans agree on priorities, recovery times, contacts and who declares what.</w:t>
      </w:r>
    </w:p>
    <w:p>
      <w:pPr>
        <w:pStyle w:val="Compact"/>
        <w:numPr>
          <w:ilvl w:val="0"/>
          <w:numId w:val="1134"/>
        </w:numPr>
      </w:pPr>
      <w:r>
        <w:t xml:space="preserve">The</w:t>
      </w:r>
      <w:r>
        <w:t xml:space="preserve"> </w:t>
      </w:r>
      <w:r>
        <w:rPr>
          <w:rStyle w:val="Fill-in"/>
        </w:rPr>
        <w:t xml:space="preserve">[System owner]</w:t>
      </w:r>
      <w:r>
        <w:t xml:space="preserve"> </w:t>
      </w:r>
      <w:r>
        <w:t xml:space="preserve">shall coordinate contingency plan development with the organizational elements responsible for related plans. (CP-2(1))</w:t>
      </w:r>
    </w:p>
    <w:bookmarkEnd w:id="185"/>
    <w:bookmarkStart w:id="186" w:name="capacity-planning-cp-22"/>
    <w:p>
      <w:pPr>
        <w:pStyle w:val="Heading4"/>
      </w:pPr>
      <w:r>
        <w:t xml:space="preserve">Capacity planning (CP-2(2))</w:t>
      </w:r>
    </w:p>
    <w:p>
      <w:pPr>
        <w:pStyle w:val="Compact"/>
        <w:numPr>
          <w:ilvl w:val="0"/>
          <w:numId w:val="1135"/>
        </w:numPr>
      </w:pPr>
      <w:r>
        <w:t xml:space="preserve">The</w:t>
      </w:r>
      <w:r>
        <w:t xml:space="preserve"> </w:t>
      </w:r>
      <w:r>
        <w:rPr>
          <w:rStyle w:val="Fill-in"/>
        </w:rPr>
        <w:t xml:space="preserve">[System owner]</w:t>
      </w:r>
      <w:r>
        <w:t xml:space="preserve"> </w:t>
      </w:r>
      <w:r>
        <w:t xml:space="preserve">shall conduct capacity planning so that the processing, telecommunications and environmental support capacity needed during contingency operations exists. (CP-2(2))</w:t>
      </w:r>
    </w:p>
    <w:bookmarkEnd w:id="186"/>
    <w:bookmarkStart w:id="187" w:name="Xd5f4c6b6dd62578725c9c089edf4a44b8969bfe"/>
    <w:p>
      <w:pPr>
        <w:pStyle w:val="Heading4"/>
      </w:pPr>
      <w:r>
        <w:t xml:space="preserve">Resume mission and business functions (CP-2(3))</w:t>
      </w:r>
    </w:p>
    <w:p>
      <w:pPr>
        <w:pStyle w:val="Compact"/>
        <w:numPr>
          <w:ilvl w:val="0"/>
          <w:numId w:val="1136"/>
        </w:numPr>
      </w:pPr>
      <w:r>
        <w:t xml:space="preserve">The</w:t>
      </w:r>
      <w:r>
        <w:t xml:space="preserve"> </w:t>
      </w:r>
      <w:r>
        <w:rPr>
          <w:rStyle w:val="Fill-in"/>
        </w:rPr>
        <w:t xml:space="preserve">[System owner]</w:t>
      </w:r>
      <w:r>
        <w:t xml:space="preserve"> </w:t>
      </w:r>
      <w:r>
        <w:t xml:space="preserve">shall plan for the resumption of</w:t>
      </w:r>
      <w:r>
        <w:t xml:space="preserve"> </w:t>
      </w:r>
      <w:r>
        <w:rPr>
          <w:rStyle w:val="Fill-in"/>
        </w:rPr>
        <w:t xml:space="preserve">[Select one: all; essential. Typical: essential]</w:t>
      </w:r>
      <w:r>
        <w:t xml:space="preserve"> </w:t>
      </w:r>
      <w:r>
        <w:t xml:space="preserve">mission and business functions within</w:t>
      </w:r>
      <w:r>
        <w:t xml:space="preserve"> </w:t>
      </w:r>
      <w:r>
        <w:rPr>
          <w:rStyle w:val="Fill-in"/>
        </w:rPr>
        <w:t xml:space="preserve">[Fill in: the contingency plan activation time period within which to resume mission and business functions. Typical: the recovery time objective set in the contingency plan from the business impact analysis]</w:t>
      </w:r>
      <w:r>
        <w:t xml:space="preserve"> </w:t>
      </w:r>
      <w:r>
        <w:t xml:space="preserve">of contingency plan activation. (CP-2(3))</w:t>
      </w:r>
    </w:p>
    <w:bookmarkEnd w:id="187"/>
    <w:bookmarkStart w:id="188" w:name="X41c8d1990876e8858ccfe17cd8b4a17c9f6c57b"/>
    <w:p>
      <w:pPr>
        <w:pStyle w:val="Heading4"/>
      </w:pPr>
      <w:r>
        <w:t xml:space="preserve">Continue mission and business functions (CP-2(5))</w:t>
      </w:r>
    </w:p>
    <w:p>
      <w:pPr>
        <w:pStyle w:val="Compact"/>
        <w:numPr>
          <w:ilvl w:val="0"/>
          <w:numId w:val="1137"/>
        </w:numPr>
      </w:pPr>
      <w:r>
        <w:t xml:space="preserve">The</w:t>
      </w:r>
      <w:r>
        <w:t xml:space="preserve"> </w:t>
      </w:r>
      <w:r>
        <w:rPr>
          <w:rStyle w:val="Fill-in"/>
        </w:rPr>
        <w:t xml:space="preserve">[System owner]</w:t>
      </w:r>
      <w:r>
        <w:t xml:space="preserve"> </w:t>
      </w:r>
      <w:r>
        <w:t xml:space="preserve">shall plan for the continuance of</w:t>
      </w:r>
      <w:r>
        <w:t xml:space="preserve"> </w:t>
      </w:r>
      <w:r>
        <w:rPr>
          <w:rStyle w:val="Fill-in"/>
        </w:rPr>
        <w:t xml:space="preserve">[Select one: all; essential. Typical: essential]</w:t>
      </w:r>
      <w:r>
        <w:t xml:space="preserve"> </w:t>
      </w:r>
      <w:r>
        <w:t xml:space="preserve">mission and business functions with minimal or no loss of operational continuity, sustained until full system restoration at the primary processing or storage sites. (CP-2(5))</w:t>
      </w:r>
    </w:p>
    <w:bookmarkEnd w:id="188"/>
    <w:bookmarkStart w:id="189" w:name="identify-critical-assets-cp-28"/>
    <w:p>
      <w:pPr>
        <w:pStyle w:val="Heading4"/>
      </w:pPr>
      <w:r>
        <w:t xml:space="preserve">Identify critical assets (CP-2(8))</w:t>
      </w:r>
    </w:p>
    <w:p>
      <w:pPr>
        <w:pStyle w:val="Guidance"/>
      </w:pPr>
      <w:r>
        <w:t xml:space="preserve">Critical assets are the components, services and people the functions cannot run without. The criticality analysis (RA-9) and the business impact analysis are the usual sources.</w:t>
      </w:r>
    </w:p>
    <w:p>
      <w:pPr>
        <w:pStyle w:val="Compact"/>
        <w:numPr>
          <w:ilvl w:val="0"/>
          <w:numId w:val="1138"/>
        </w:numPr>
      </w:pPr>
      <w:r>
        <w:t xml:space="preserve">The</w:t>
      </w:r>
      <w:r>
        <w:t xml:space="preserve"> </w:t>
      </w:r>
      <w:r>
        <w:rPr>
          <w:rStyle w:val="Fill-in"/>
        </w:rPr>
        <w:t xml:space="preserve">[System owner]</w:t>
      </w:r>
      <w:r>
        <w:t xml:space="preserve"> </w:t>
      </w:r>
      <w:r>
        <w:t xml:space="preserve">shall identify the critical system assets that support</w:t>
      </w:r>
      <w:r>
        <w:t xml:space="preserve"> </w:t>
      </w:r>
      <w:r>
        <w:rPr>
          <w:rStyle w:val="Fill-in"/>
        </w:rPr>
        <w:t xml:space="preserve">[Select one: all; essential. Typical: essential]</w:t>
      </w:r>
      <w:r>
        <w:t xml:space="preserve"> </w:t>
      </w:r>
      <w:r>
        <w:t xml:space="preserve">mission and business functions. (CP-2(8))</w:t>
      </w:r>
    </w:p>
    <w:bookmarkEnd w:id="189"/>
    <w:bookmarkStart w:id="190" w:name="contingency-training-cp-3"/>
    <w:p>
      <w:pPr>
        <w:pStyle w:val="Heading4"/>
      </w:pPr>
      <w:r>
        <w:t xml:space="preserve">Contingency training (CP-3)</w:t>
      </w:r>
    </w:p>
    <w:p>
      <w:pPr>
        <w:pStyle w:val="Guidance"/>
      </w:pPr>
      <w:r>
        <w:t xml:space="preserve">Contingency training teaches people with a role in the plan what they do and how: who declares a disruption, how to restore from backup, how to fail over to the alternate site. Users without a contingency role need only know where to get instructions, which literacy training (AT-2) can cover.</w:t>
      </w:r>
    </w:p>
    <w:p>
      <w:pPr>
        <w:pStyle w:val="Compact"/>
        <w:numPr>
          <w:ilvl w:val="0"/>
          <w:numId w:val="1139"/>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139"/>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139"/>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139"/>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190"/>
    <w:bookmarkStart w:id="191" w:name="simulated-events-cp-31"/>
    <w:p>
      <w:pPr>
        <w:pStyle w:val="Heading4"/>
      </w:pPr>
      <w:r>
        <w:t xml:space="preserve">Simulated events (CP-3(1))</w:t>
      </w:r>
    </w:p>
    <w:p>
      <w:pPr>
        <w:pStyle w:val="Compact"/>
        <w:numPr>
          <w:ilvl w:val="0"/>
          <w:numId w:val="1140"/>
        </w:numPr>
      </w:pPr>
      <w:r>
        <w:t xml:space="preserve">The</w:t>
      </w:r>
      <w:r>
        <w:t xml:space="preserve"> </w:t>
      </w:r>
      <w:r>
        <w:rPr>
          <w:rStyle w:val="Fill-in"/>
        </w:rPr>
        <w:t xml:space="preserve">[System owner]</w:t>
      </w:r>
      <w:r>
        <w:t xml:space="preserve"> </w:t>
      </w:r>
      <w:r>
        <w:t xml:space="preserve">shall incorporate simulated events into contingency training so personnel practice an effective response to crisis situations. (CP-3(1))</w:t>
      </w:r>
    </w:p>
    <w:bookmarkEnd w:id="191"/>
    <w:bookmarkStart w:id="194" w:name="contingency-plan-testing-cp-4"/>
    <w:p>
      <w:pPr>
        <w:pStyle w:val="Heading4"/>
      </w:pPr>
      <w:r>
        <w:t xml:space="preserve">Contingency plan testing (CP-4)</w:t>
      </w:r>
    </w:p>
    <w:p>
      <w:pPr>
        <w:pStyle w:val="Guidance"/>
      </w:pPr>
      <w:r>
        <w:t xml:space="preserve">A tabletop exercise checks that people know the plan; a functional test checks that recovery actually works. NIST SP 800-84 describes both. Plan each test with the</w:t>
      </w:r>
      <w:r>
        <w:t xml:space="preserve"> </w:t>
      </w:r>
      <w:hyperlink r:id="rId192">
        <w:r>
          <w:rPr>
            <w:rStyle w:val="Hyperlink"/>
          </w:rPr>
          <w:t xml:space="preserve">test plan template</w:t>
        </w:r>
      </w:hyperlink>
      <w:r>
        <w:t xml:space="preserve">, record the results in an</w:t>
      </w:r>
      <w:r>
        <w:t xml:space="preserve"> </w:t>
      </w:r>
      <w:hyperlink r:id="rId193">
        <w:r>
          <w:rPr>
            <w:rStyle w:val="Hyperlink"/>
          </w:rPr>
          <w:t xml:space="preserve">after-action report</w:t>
        </w:r>
      </w:hyperlink>
      <w:r>
        <w:t xml:space="preserve">, and track corrective actions to closure.</w:t>
      </w:r>
    </w:p>
    <w:p>
      <w:pPr>
        <w:pStyle w:val="Compact"/>
        <w:numPr>
          <w:ilvl w:val="0"/>
          <w:numId w:val="1141"/>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141"/>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141"/>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194"/>
    <w:bookmarkStart w:id="195" w:name="coordinate-with-related-plans-cp-41"/>
    <w:p>
      <w:pPr>
        <w:pStyle w:val="Heading4"/>
      </w:pPr>
      <w:r>
        <w:t xml:space="preserve">Coordinate with related plans (CP-4(1))</w:t>
      </w:r>
    </w:p>
    <w:p>
      <w:pPr>
        <w:pStyle w:val="Compact"/>
        <w:numPr>
          <w:ilvl w:val="0"/>
          <w:numId w:val="1142"/>
        </w:numPr>
      </w:pPr>
      <w:r>
        <w:t xml:space="preserve">The</w:t>
      </w:r>
      <w:r>
        <w:t xml:space="preserve"> </w:t>
      </w:r>
      <w:r>
        <w:rPr>
          <w:rStyle w:val="Fill-in"/>
        </w:rPr>
        <w:t xml:space="preserve">[System owner]</w:t>
      </w:r>
      <w:r>
        <w:t xml:space="preserve"> </w:t>
      </w:r>
      <w:r>
        <w:t xml:space="preserve">shall coordinate contingency plan testing with the organizational elements responsible for related plans. (CP-4(1))</w:t>
      </w:r>
    </w:p>
    <w:bookmarkEnd w:id="195"/>
    <w:bookmarkStart w:id="196" w:name="alternate-processing-site-cp-42"/>
    <w:p>
      <w:pPr>
        <w:pStyle w:val="Heading4"/>
      </w:pPr>
      <w:r>
        <w:t xml:space="preserve">Alternate processing site (CP-4(2))</w:t>
      </w:r>
    </w:p>
    <w:p>
      <w:pPr>
        <w:pStyle w:val="Compact"/>
        <w:numPr>
          <w:ilvl w:val="0"/>
          <w:numId w:val="1143"/>
        </w:numPr>
      </w:pPr>
      <w:r>
        <w:t xml:space="preserve">The</w:t>
      </w:r>
      <w:r>
        <w:t xml:space="preserve"> </w:t>
      </w:r>
      <w:r>
        <w:rPr>
          <w:rStyle w:val="Fill-in"/>
        </w:rPr>
        <w:t xml:space="preserve">[System owner]</w:t>
      </w:r>
      <w:r>
        <w:t xml:space="preserve"> </w:t>
      </w:r>
      <w:r>
        <w:t xml:space="preserve">shall test the contingency plan at the alternate processing site to familiarize contingency personnel with the facility and its resources. (CP-4(2)(a))</w:t>
      </w:r>
    </w:p>
    <w:p>
      <w:pPr>
        <w:pStyle w:val="Compact"/>
        <w:numPr>
          <w:ilvl w:val="0"/>
          <w:numId w:val="1143"/>
        </w:numPr>
      </w:pPr>
      <w:r>
        <w:t xml:space="preserve">The</w:t>
      </w:r>
      <w:r>
        <w:t xml:space="preserve"> </w:t>
      </w:r>
      <w:r>
        <w:rPr>
          <w:rStyle w:val="Fill-in"/>
        </w:rPr>
        <w:t xml:space="preserve">[System owner]</w:t>
      </w:r>
      <w:r>
        <w:t xml:space="preserve"> </w:t>
      </w:r>
      <w:r>
        <w:t xml:space="preserve">shall test the contingency plan at the alternate processing site to evaluate the site’s capability to support contingency operations. (CP-4(2)(b))</w:t>
      </w:r>
    </w:p>
    <w:bookmarkEnd w:id="196"/>
    <w:bookmarkStart w:id="197" w:name="alternate-storage-site-cp-6"/>
    <w:p>
      <w:pPr>
        <w:pStyle w:val="Heading4"/>
      </w:pPr>
      <w:r>
        <w:t xml:space="preserve">Alternate storage site (CP-6)</w:t>
      </w:r>
    </w:p>
    <w:p>
      <w:pPr>
        <w:pStyle w:val="Guidance"/>
      </w:pPr>
      <w:r>
        <w:t xml:space="preserve">The alternate storage site holds the backups needed to recover the system. For a system in the cloud, a separate region or availability zone from the same provider can serve as the alternate site, if it meets the separation and control requirements below and the provider agreement supports it.</w:t>
      </w:r>
    </w:p>
    <w:p>
      <w:pPr>
        <w:pStyle w:val="Compact"/>
        <w:numPr>
          <w:ilvl w:val="0"/>
          <w:numId w:val="1144"/>
        </w:numPr>
      </w:pPr>
      <w:r>
        <w:t xml:space="preserve">The</w:t>
      </w:r>
      <w:r>
        <w:t xml:space="preserve"> </w:t>
      </w:r>
      <w:r>
        <w:rPr>
          <w:rStyle w:val="Fill-in"/>
        </w:rPr>
        <w:t xml:space="preserve">[System owner]</w:t>
      </w:r>
      <w:r>
        <w:t xml:space="preserve"> </w:t>
      </w:r>
      <w:r>
        <w:t xml:space="preserve">shall establish an alternate storage site, including the agreements needed to permit the storage and retrieval of system backup information. (CP-6a)</w:t>
      </w:r>
    </w:p>
    <w:p>
      <w:pPr>
        <w:pStyle w:val="Compact"/>
        <w:numPr>
          <w:ilvl w:val="0"/>
          <w:numId w:val="1144"/>
        </w:numPr>
      </w:pPr>
      <w:r>
        <w:t xml:space="preserve">The</w:t>
      </w:r>
      <w:r>
        <w:t xml:space="preserve"> </w:t>
      </w:r>
      <w:r>
        <w:rPr>
          <w:rStyle w:val="Fill-in"/>
        </w:rPr>
        <w:t xml:space="preserve">[System owner]</w:t>
      </w:r>
      <w:r>
        <w:t xml:space="preserve"> </w:t>
      </w:r>
      <w:r>
        <w:t xml:space="preserve">shall ensure the alternate storage site provides controls equivalent to those of the primary site. (CP-6b)</w:t>
      </w:r>
    </w:p>
    <w:bookmarkEnd w:id="197"/>
    <w:bookmarkStart w:id="198" w:name="separation-from-primary-site-cp-61"/>
    <w:p>
      <w:pPr>
        <w:pStyle w:val="Heading4"/>
      </w:pPr>
      <w:r>
        <w:t xml:space="preserve">Separation from primary site (CP-6(1))</w:t>
      </w:r>
    </w:p>
    <w:p>
      <w:pPr>
        <w:pStyle w:val="Compact"/>
        <w:numPr>
          <w:ilvl w:val="0"/>
          <w:numId w:val="1145"/>
        </w:numPr>
      </w:pPr>
      <w:r>
        <w:t xml:space="preserve">The</w:t>
      </w:r>
      <w:r>
        <w:t xml:space="preserve"> </w:t>
      </w:r>
      <w:r>
        <w:rPr>
          <w:rStyle w:val="Fill-in"/>
        </w:rPr>
        <w:t xml:space="preserve">[System owner]</w:t>
      </w:r>
      <w:r>
        <w:t xml:space="preserve"> </w:t>
      </w:r>
      <w:r>
        <w:t xml:space="preserve">shall identify an alternate storage site sufficiently separated from the primary storage site to reduce susceptibility to the same threats. (CP-6(1))</w:t>
      </w:r>
    </w:p>
    <w:bookmarkEnd w:id="198"/>
    <w:bookmarkStart w:id="199" w:name="Xc67ded5c9737b95663945e755c57df85250e5a4"/>
    <w:p>
      <w:pPr>
        <w:pStyle w:val="Heading4"/>
      </w:pPr>
      <w:r>
        <w:t xml:space="preserve">Recovery time and recovery point objectives (CP-6(2))</w:t>
      </w:r>
    </w:p>
    <w:p>
      <w:pPr>
        <w:pStyle w:val="Compact"/>
        <w:numPr>
          <w:ilvl w:val="0"/>
          <w:numId w:val="1146"/>
        </w:numPr>
      </w:pPr>
      <w:r>
        <w:t xml:space="preserve">The</w:t>
      </w:r>
      <w:r>
        <w:t xml:space="preserve"> </w:t>
      </w:r>
      <w:r>
        <w:rPr>
          <w:rStyle w:val="Fill-in"/>
        </w:rPr>
        <w:t xml:space="preserve">[System owner]</w:t>
      </w:r>
      <w:r>
        <w:t xml:space="preserve"> </w:t>
      </w:r>
      <w:r>
        <w:t xml:space="preserve">shall configure the alternate storage site to support recovery operations in accordance with the recovery time and recovery point objectives. (CP-6(2))</w:t>
      </w:r>
    </w:p>
    <w:bookmarkEnd w:id="199"/>
    <w:bookmarkStart w:id="200" w:name="accessibility-cp-63"/>
    <w:p>
      <w:pPr>
        <w:pStyle w:val="Heading4"/>
      </w:pPr>
      <w:r>
        <w:t xml:space="preserve">Accessibility (CP-6(3))</w:t>
      </w:r>
    </w:p>
    <w:p>
      <w:pPr>
        <w:pStyle w:val="Compact"/>
        <w:numPr>
          <w:ilvl w:val="0"/>
          <w:numId w:val="1147"/>
        </w:numPr>
      </w:pPr>
      <w:r>
        <w:t xml:space="preserve">The</w:t>
      </w:r>
      <w:r>
        <w:t xml:space="preserve"> </w:t>
      </w:r>
      <w:r>
        <w:rPr>
          <w:rStyle w:val="Fill-in"/>
        </w:rPr>
        <w:t xml:space="preserve">[System owner]</w:t>
      </w:r>
      <w:r>
        <w:t xml:space="preserve"> </w:t>
      </w:r>
      <w:r>
        <w:t xml:space="preserve">shall identify potential problems with access to the alternate storage site in an area-wide disruption or disaster, and set out explicit mitigation actions. (CP-6(3))</w:t>
      </w:r>
    </w:p>
    <w:bookmarkEnd w:id="200"/>
    <w:bookmarkStart w:id="201" w:name="alternate-processing-site-cp-7"/>
    <w:p>
      <w:pPr>
        <w:pStyle w:val="Heading4"/>
      </w:pPr>
      <w:r>
        <w:t xml:space="preserve">Alternate processing site (CP-7)</w:t>
      </w:r>
    </w:p>
    <w:p>
      <w:pPr>
        <w:pStyle w:val="Guidance"/>
      </w:pPr>
      <w:r>
        <w:t xml:space="preserve">The alternate processing site is where the system runs when the primary site cannot. For a system in the cloud, a separate region or availability zone from the same provider can serve as the alternate site, if it meets the separation and control requirements below and the provider agreement supports it.</w:t>
      </w:r>
    </w:p>
    <w:p>
      <w:pPr>
        <w:pStyle w:val="Compact"/>
        <w:numPr>
          <w:ilvl w:val="0"/>
          <w:numId w:val="1148"/>
        </w:numPr>
      </w:pPr>
      <w:r>
        <w:t xml:space="preserve">The</w:t>
      </w:r>
      <w:r>
        <w:t xml:space="preserve"> </w:t>
      </w:r>
      <w:r>
        <w:rPr>
          <w:rStyle w:val="Fill-in"/>
        </w:rPr>
        <w:t xml:space="preserve">[System owner]</w:t>
      </w:r>
      <w:r>
        <w:t xml:space="preserve"> </w:t>
      </w:r>
      <w:r>
        <w:t xml:space="preserve">shall establish an alternate processing site, including the agreements needed to permit the transfer and resumption of</w:t>
      </w:r>
      <w:r>
        <w:t xml:space="preserve"> </w:t>
      </w:r>
      <w:r>
        <w:rPr>
          <w:rStyle w:val="Fill-in"/>
        </w:rPr>
        <w:t xml:space="preserve">[Fill in: system operations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consistent with recovery time and recovery point objectives. Typical: the recovery time objective set in the contingency plan from the business impact analysis]</w:t>
      </w:r>
      <w:r>
        <w:t xml:space="preserve"> </w:t>
      </w:r>
      <w:r>
        <w:t xml:space="preserve">when the primary processing capabilities are unavailable. (CP-7a)</w:t>
      </w:r>
    </w:p>
    <w:p>
      <w:pPr>
        <w:pStyle w:val="Compact"/>
        <w:numPr>
          <w:ilvl w:val="0"/>
          <w:numId w:val="1148"/>
        </w:numPr>
      </w:pPr>
      <w:r>
        <w:t xml:space="preserve">The</w:t>
      </w:r>
      <w:r>
        <w:t xml:space="preserve"> </w:t>
      </w:r>
      <w:r>
        <w:rPr>
          <w:rStyle w:val="Fill-in"/>
        </w:rPr>
        <w:t xml:space="preserve">[System owner]</w:t>
      </w:r>
      <w:r>
        <w:t xml:space="preserve"> </w:t>
      </w:r>
      <w:r>
        <w:t xml:space="preserve">shall make available at the alternate processing site the equipment and supplies needed to transfer and resume operations, or put contracts in place to deliver them to the site within that time period. (CP-7b)</w:t>
      </w:r>
    </w:p>
    <w:p>
      <w:pPr>
        <w:pStyle w:val="Compact"/>
        <w:numPr>
          <w:ilvl w:val="0"/>
          <w:numId w:val="1148"/>
        </w:numPr>
      </w:pPr>
      <w:r>
        <w:t xml:space="preserve">The</w:t>
      </w:r>
      <w:r>
        <w:t xml:space="preserve"> </w:t>
      </w:r>
      <w:r>
        <w:rPr>
          <w:rStyle w:val="Fill-in"/>
        </w:rPr>
        <w:t xml:space="preserve">[System owner]</w:t>
      </w:r>
      <w:r>
        <w:t xml:space="preserve"> </w:t>
      </w:r>
      <w:r>
        <w:t xml:space="preserve">shall provide controls at the alternate processing site equivalent to those at the primary site. (CP-7c)</w:t>
      </w:r>
    </w:p>
    <w:bookmarkEnd w:id="201"/>
    <w:bookmarkStart w:id="202" w:name="separation-from-primary-site-cp-71"/>
    <w:p>
      <w:pPr>
        <w:pStyle w:val="Heading4"/>
      </w:pPr>
      <w:r>
        <w:t xml:space="preserve">Separation from primary site (CP-7(1))</w:t>
      </w:r>
    </w:p>
    <w:p>
      <w:pPr>
        <w:pStyle w:val="Compact"/>
        <w:numPr>
          <w:ilvl w:val="0"/>
          <w:numId w:val="1149"/>
        </w:numPr>
      </w:pPr>
      <w:r>
        <w:t xml:space="preserve">The</w:t>
      </w:r>
      <w:r>
        <w:t xml:space="preserve"> </w:t>
      </w:r>
      <w:r>
        <w:rPr>
          <w:rStyle w:val="Fill-in"/>
        </w:rPr>
        <w:t xml:space="preserve">[System owner]</w:t>
      </w:r>
      <w:r>
        <w:t xml:space="preserve"> </w:t>
      </w:r>
      <w:r>
        <w:t xml:space="preserve">shall identify an alternate processing site sufficiently separated from the primary processing site to reduce susceptibility to the same threats. (CP-7(1))</w:t>
      </w:r>
    </w:p>
    <w:bookmarkEnd w:id="202"/>
    <w:bookmarkStart w:id="203" w:name="accessibility-cp-72"/>
    <w:p>
      <w:pPr>
        <w:pStyle w:val="Heading4"/>
      </w:pPr>
      <w:r>
        <w:t xml:space="preserve">Accessibility (CP-7(2))</w:t>
      </w:r>
    </w:p>
    <w:p>
      <w:pPr>
        <w:pStyle w:val="Compact"/>
        <w:numPr>
          <w:ilvl w:val="0"/>
          <w:numId w:val="1150"/>
        </w:numPr>
      </w:pPr>
      <w:r>
        <w:t xml:space="preserve">The</w:t>
      </w:r>
      <w:r>
        <w:t xml:space="preserve"> </w:t>
      </w:r>
      <w:r>
        <w:rPr>
          <w:rStyle w:val="Fill-in"/>
        </w:rPr>
        <w:t xml:space="preserve">[System owner]</w:t>
      </w:r>
      <w:r>
        <w:t xml:space="preserve"> </w:t>
      </w:r>
      <w:r>
        <w:t xml:space="preserve">shall identify potential problems with access to the alternate processing site in an area-wide disruption or disaster, and set out explicit mitigation actions. (CP-7(2))</w:t>
      </w:r>
    </w:p>
    <w:bookmarkEnd w:id="203"/>
    <w:bookmarkStart w:id="204" w:name="priority-of-service-cp-73"/>
    <w:p>
      <w:pPr>
        <w:pStyle w:val="Heading4"/>
      </w:pPr>
      <w:r>
        <w:t xml:space="preserve">Priority of service (CP-7(3))</w:t>
      </w:r>
    </w:p>
    <w:p>
      <w:pPr>
        <w:pStyle w:val="Compact"/>
        <w:numPr>
          <w:ilvl w:val="0"/>
          <w:numId w:val="1151"/>
        </w:numPr>
      </w:pPr>
      <w:r>
        <w:t xml:space="preserve">The</w:t>
      </w:r>
      <w:r>
        <w:t xml:space="preserve"> </w:t>
      </w:r>
      <w:r>
        <w:rPr>
          <w:rStyle w:val="Fill-in"/>
        </w:rPr>
        <w:t xml:space="preserve">[System owner]</w:t>
      </w:r>
      <w:r>
        <w:t xml:space="preserve"> </w:t>
      </w:r>
      <w:r>
        <w:t xml:space="preserve">shall ensure alternate processing site agreements contain priority-of-service provisions in accordance with the system’s availability requirements, including recovery time objectives. (CP-7(3))</w:t>
      </w:r>
    </w:p>
    <w:bookmarkEnd w:id="204"/>
    <w:bookmarkStart w:id="205" w:name="preparation-for-use-cp-74"/>
    <w:p>
      <w:pPr>
        <w:pStyle w:val="Heading4"/>
      </w:pPr>
      <w:r>
        <w:t xml:space="preserve">Preparation for use (CP-7(4))</w:t>
      </w:r>
    </w:p>
    <w:p>
      <w:pPr>
        <w:pStyle w:val="Compact"/>
        <w:numPr>
          <w:ilvl w:val="0"/>
          <w:numId w:val="1152"/>
        </w:numPr>
      </w:pPr>
      <w:r>
        <w:t xml:space="preserve">The</w:t>
      </w:r>
      <w:r>
        <w:t xml:space="preserve"> </w:t>
      </w:r>
      <w:r>
        <w:rPr>
          <w:rStyle w:val="Fill-in"/>
        </w:rPr>
        <w:t xml:space="preserve">[System owner]</w:t>
      </w:r>
      <w:r>
        <w:t xml:space="preserve"> </w:t>
      </w:r>
      <w:r>
        <w:t xml:space="preserve">shall prepare the alternate processing site so that it can serve as the operational site supporting essential mission and business functions. (CP-7(4))</w:t>
      </w:r>
    </w:p>
    <w:bookmarkEnd w:id="205"/>
    <w:bookmarkStart w:id="206" w:name="telecommunications-services-cp-8"/>
    <w:p>
      <w:pPr>
        <w:pStyle w:val="Heading4"/>
      </w:pPr>
      <w:r>
        <w:t xml:space="preserve">Telecommunications services (CP-8)</w:t>
      </w:r>
    </w:p>
    <w:p>
      <w:pPr>
        <w:pStyle w:val="Guidance"/>
      </w:pPr>
      <w:r>
        <w:t xml:space="preserve">Alternate telecommunications keep the system reachable when the primary network or internet service fails, at the primary site or at the alternate sites: for example a second internet provider, a wireless backup link, or a provider-managed network with diverse paths.</w:t>
      </w:r>
    </w:p>
    <w:p>
      <w:pPr>
        <w:pStyle w:val="Compact"/>
        <w:numPr>
          <w:ilvl w:val="0"/>
          <w:numId w:val="1153"/>
        </w:numPr>
      </w:pPr>
      <w:r>
        <w:t xml:space="preserve">The</w:t>
      </w:r>
      <w:r>
        <w:t xml:space="preserve"> </w:t>
      </w:r>
      <w:r>
        <w:rPr>
          <w:rStyle w:val="Fill-in"/>
        </w:rPr>
        <w:t xml:space="preserve">[System owner]</w:t>
      </w:r>
      <w:r>
        <w:t xml:space="preserve"> </w:t>
      </w:r>
      <w:r>
        <w:t xml:space="preserve">shall establish alternate telecommunications services, including the agreements needed to permit the resumption of</w:t>
      </w:r>
      <w:r>
        <w:t xml:space="preserve"> </w:t>
      </w:r>
      <w:r>
        <w:rPr>
          <w:rStyle w:val="Fill-in"/>
        </w:rPr>
        <w:t xml:space="preserve">[Fill in: system operations to be resumed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within which to resume essential mission and business functions when the primary telecommunications capabilities are unavailable. Typical: the recovery time objective set in the contingency plan from the business impact analysis]</w:t>
      </w:r>
      <w:r>
        <w:t xml:space="preserve"> </w:t>
      </w:r>
      <w:r>
        <w:t xml:space="preserve">when the primary telecommunications capabilities are unavailable at the primary or alternate processing or storage sites. (CP-8)</w:t>
      </w:r>
    </w:p>
    <w:bookmarkEnd w:id="206"/>
    <w:bookmarkStart w:id="209" w:name="priority-of-service-provisions-cp-81"/>
    <w:p>
      <w:pPr>
        <w:pStyle w:val="Heading4"/>
      </w:pPr>
      <w:r>
        <w:t xml:space="preserve">Priority of service provisions (CP-8(1))</w:t>
      </w:r>
    </w:p>
    <w:p>
      <w:pPr>
        <w:pStyle w:val="Compact"/>
        <w:numPr>
          <w:ilvl w:val="0"/>
          <w:numId w:val="1154"/>
        </w:numPr>
      </w:pPr>
      <w:r>
        <w:t xml:space="preserve">The</w:t>
      </w:r>
      <w:r>
        <w:t xml:space="preserve"> </w:t>
      </w:r>
      <w:r>
        <w:rPr>
          <w:rStyle w:val="Fill-in"/>
        </w:rPr>
        <w:t xml:space="preserve">[System owner]</w:t>
      </w:r>
      <w:r>
        <w:t xml:space="preserve"> </w:t>
      </w:r>
      <w:r>
        <w:t xml:space="preserve">shall ensure primary and alternate telecommunications service agreements contain priority-of-service provisions in accordance with the system’s availability requirements, including recovery time objectives. (CP-8(1)(a))</w:t>
      </w:r>
    </w:p>
    <w:p>
      <w:pPr>
        <w:pStyle w:val="Compact"/>
        <w:numPr>
          <w:ilvl w:val="0"/>
          <w:numId w:val="1154"/>
        </w:numPr>
      </w:pPr>
      <w:r>
        <w:t xml:space="preserve">Where the primary or alternate telecommunications services are provided by a common carrier, the</w:t>
      </w:r>
      <w:r>
        <w:t xml:space="preserve"> </w:t>
      </w:r>
      <w:r>
        <w:rPr>
          <w:rStyle w:val="Fill-in"/>
        </w:rPr>
        <w:t xml:space="preserve">[System owner]</w:t>
      </w:r>
      <w:r>
        <w:t xml:space="preserve"> </w:t>
      </w:r>
      <w:r>
        <w:t xml:space="preserve">shall request Telecommunications Service Priority for all telecommunications services used for national security emergency preparedness. (CP-8(1)(b))</w:t>
      </w:r>
    </w:p>
    <w:bookmarkStart w:id="208" w:name="federal-systems-10"/>
    <w:p>
      <w:pPr>
        <w:pStyle w:val="Heading5"/>
      </w:pPr>
      <w:r>
        <w:t xml:space="preserve">Federal systems</w:t>
      </w:r>
    </w:p>
    <w:p>
      <w:pPr>
        <w:pStyle w:val="FirstParagraph"/>
      </w:pPr>
      <w:hyperlink r:id="rId207">
        <w:r>
          <w:rPr>
            <w:rStyle w:val="Hyperlink"/>
          </w:rPr>
          <w:t xml:space="preserve">Telecommunications Service Priority</w:t>
        </w:r>
      </w:hyperlink>
      <w:r>
        <w:t xml:space="preserve"> </w:t>
      </w:r>
      <w:r>
        <w:t xml:space="preserve">is an FCC program, managed by CISA, which requires service providers to prioritize provisioning and restoration of voice and data circuits for organizations with national security and emergency preparedness missions (checked September 2026). CISA’s priority services are open to all levels of government and to organizations in the critical infrastructure sectors.</w:t>
      </w:r>
    </w:p>
    <w:p>
      <w:pPr>
        <w:pStyle w:val="Compact"/>
        <w:numPr>
          <w:ilvl w:val="0"/>
          <w:numId w:val="1155"/>
        </w:numPr>
      </w:pPr>
      <w:r>
        <w:t xml:space="preserve">The</w:t>
      </w:r>
      <w:r>
        <w:t xml:space="preserve"> </w:t>
      </w:r>
      <w:r>
        <w:rPr>
          <w:rStyle w:val="Fill-in"/>
        </w:rPr>
        <w:t xml:space="preserve">[System owner]</w:t>
      </w:r>
      <w:r>
        <w:t xml:space="preserve"> </w:t>
      </w:r>
      <w:r>
        <w:t xml:space="preserve">shall register the system’s national security and emergency preparedness circuits in the Telecommunications Service Priority program. (CP-8(1)(b))</w:t>
      </w:r>
    </w:p>
    <w:bookmarkEnd w:id="208"/>
    <w:bookmarkEnd w:id="209"/>
    <w:bookmarkStart w:id="210" w:name="single-points-of-failure-cp-82"/>
    <w:p>
      <w:pPr>
        <w:pStyle w:val="Heading4"/>
      </w:pPr>
      <w:r>
        <w:t xml:space="preserve">Single points of failure (CP-8(2))</w:t>
      </w:r>
    </w:p>
    <w:p>
      <w:pPr>
        <w:pStyle w:val="Compact"/>
        <w:numPr>
          <w:ilvl w:val="0"/>
          <w:numId w:val="1156"/>
        </w:numPr>
      </w:pPr>
      <w:r>
        <w:t xml:space="preserve">The</w:t>
      </w:r>
      <w:r>
        <w:t xml:space="preserve"> </w:t>
      </w:r>
      <w:r>
        <w:rPr>
          <w:rStyle w:val="Fill-in"/>
        </w:rPr>
        <w:t xml:space="preserve">[System owner]</w:t>
      </w:r>
      <w:r>
        <w:t xml:space="preserve"> </w:t>
      </w:r>
      <w:r>
        <w:t xml:space="preserve">shall obtain alternate telecommunications services that reduce the likelihood of sharing a single point of failure with the primary telecommunications services. (CP-8(2))</w:t>
      </w:r>
    </w:p>
    <w:bookmarkEnd w:id="210"/>
    <w:bookmarkStart w:id="211" w:name="Xfbbb8e944178ba28d72b9677b819c13be56693b"/>
    <w:p>
      <w:pPr>
        <w:pStyle w:val="Heading4"/>
      </w:pPr>
      <w:r>
        <w:t xml:space="preserve">Separation of primary and alternate providers (CP-8(3))</w:t>
      </w:r>
    </w:p>
    <w:p>
      <w:pPr>
        <w:pStyle w:val="Compact"/>
        <w:numPr>
          <w:ilvl w:val="0"/>
          <w:numId w:val="1157"/>
        </w:numPr>
      </w:pPr>
      <w:r>
        <w:t xml:space="preserve">The</w:t>
      </w:r>
      <w:r>
        <w:t xml:space="preserve"> </w:t>
      </w:r>
      <w:r>
        <w:rPr>
          <w:rStyle w:val="Fill-in"/>
        </w:rPr>
        <w:t xml:space="preserve">[System owner]</w:t>
      </w:r>
      <w:r>
        <w:t xml:space="preserve"> </w:t>
      </w:r>
      <w:r>
        <w:t xml:space="preserve">shall obtain alternate telecommunications services from providers separated from the primary service providers, to reduce susceptibility to the same threats. (CP-8(3))</w:t>
      </w:r>
    </w:p>
    <w:bookmarkEnd w:id="211"/>
    <w:bookmarkStart w:id="212" w:name="provider-contingency-plan-cp-84"/>
    <w:p>
      <w:pPr>
        <w:pStyle w:val="Heading4"/>
      </w:pPr>
      <w:r>
        <w:t xml:space="preserve">Provider contingency plan (CP-8(4))</w:t>
      </w:r>
    </w:p>
    <w:p>
      <w:pPr>
        <w:pStyle w:val="Compact"/>
        <w:numPr>
          <w:ilvl w:val="0"/>
          <w:numId w:val="1158"/>
        </w:numPr>
      </w:pPr>
      <w:r>
        <w:t xml:space="preserve">The</w:t>
      </w:r>
      <w:r>
        <w:t xml:space="preserve"> </w:t>
      </w:r>
      <w:r>
        <w:rPr>
          <w:rStyle w:val="Fill-in"/>
        </w:rPr>
        <w:t xml:space="preserve">[System owner]</w:t>
      </w:r>
      <w:r>
        <w:t xml:space="preserve"> </w:t>
      </w:r>
      <w:r>
        <w:t xml:space="preserve">shall require primary and alternate telecommunications service providers to have contingency plans. (CP-8(4)(a))</w:t>
      </w:r>
    </w:p>
    <w:p>
      <w:pPr>
        <w:pStyle w:val="Compact"/>
        <w:numPr>
          <w:ilvl w:val="0"/>
          <w:numId w:val="1158"/>
        </w:numPr>
      </w:pPr>
      <w:r>
        <w:t xml:space="preserve">The</w:t>
      </w:r>
      <w:r>
        <w:t xml:space="preserve"> </w:t>
      </w:r>
      <w:r>
        <w:rPr>
          <w:rStyle w:val="Fill-in"/>
        </w:rPr>
        <w:t xml:space="preserve">[System owner]</w:t>
      </w:r>
      <w:r>
        <w:t xml:space="preserve"> </w:t>
      </w:r>
      <w:r>
        <w:t xml:space="preserve">shall review provider contingency plans to ensure they meet the organization’s contingency requirements. (CP-8(4)(b))</w:t>
      </w:r>
    </w:p>
    <w:p>
      <w:pPr>
        <w:pStyle w:val="Compact"/>
        <w:numPr>
          <w:ilvl w:val="0"/>
          <w:numId w:val="1158"/>
        </w:numPr>
      </w:pPr>
      <w:r>
        <w:t xml:space="preserve">The</w:t>
      </w:r>
      <w:r>
        <w:t xml:space="preserve"> </w:t>
      </w:r>
      <w:r>
        <w:rPr>
          <w:rStyle w:val="Fill-in"/>
        </w:rPr>
        <w:t xml:space="preserve">[System owner]</w:t>
      </w:r>
      <w:r>
        <w:t xml:space="preserve"> </w:t>
      </w:r>
      <w:r>
        <w:t xml:space="preserve">shall obtain evidence of contingency testing by providers</w:t>
      </w:r>
      <w:r>
        <w:t xml:space="preserve"> </w:t>
      </w:r>
      <w:r>
        <w:rPr>
          <w:rStyle w:val="Fill-in"/>
        </w:rPr>
        <w:t xml:space="preserve">[Fill in: frequency at which to obtain evidence of contingency testing by providers. Typical: annually]</w:t>
      </w:r>
      <w:r>
        <w:t xml:space="preserve">, and of contingency training by providers</w:t>
      </w:r>
      <w:r>
        <w:t xml:space="preserve"> </w:t>
      </w:r>
      <w:r>
        <w:rPr>
          <w:rStyle w:val="Fill-in"/>
        </w:rPr>
        <w:t xml:space="preserve">[Fill in: frequency at which to obtain evidence of contingency training by providers. Typical: annually]</w:t>
      </w:r>
      <w:r>
        <w:t xml:space="preserve">. (CP-8(4)(c))</w:t>
      </w:r>
    </w:p>
    <w:bookmarkEnd w:id="212"/>
    <w:bookmarkStart w:id="213" w:name="system-backup-cp-9"/>
    <w:p>
      <w:pPr>
        <w:pStyle w:val="Heading4"/>
      </w:pPr>
      <w:r>
        <w:t xml:space="preserve">System backup (CP-9)</w:t>
      </w:r>
    </w:p>
    <w:p>
      <w:pPr>
        <w:pStyle w:val="Guidance"/>
      </w:pPr>
      <w:r>
        <w:t xml:space="preserve">Set backup frequencies from the recovery point objectives in the contingency plan: how much data the business can afford to lose. Keep at least one copy that ransomware on the production network cannot reach or change, such as an immutable or offline copy.</w:t>
      </w:r>
    </w:p>
    <w:p>
      <w:pPr>
        <w:pStyle w:val="Compact"/>
        <w:numPr>
          <w:ilvl w:val="0"/>
          <w:numId w:val="1159"/>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159"/>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159"/>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159"/>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213"/>
    <w:bookmarkStart w:id="214" w:name="Xe709707d39fcebdbb5136b5fc668410c572157b"/>
    <w:p>
      <w:pPr>
        <w:pStyle w:val="Heading4"/>
      </w:pPr>
      <w:r>
        <w:t xml:space="preserve">Testing for reliability and integrity (CP-9(1))</w:t>
      </w:r>
    </w:p>
    <w:p>
      <w:pPr>
        <w:pStyle w:val="Compact"/>
        <w:numPr>
          <w:ilvl w:val="0"/>
          <w:numId w:val="1160"/>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media reliability. Typical: quarterly]</w:t>
      </w:r>
      <w:r>
        <w:t xml:space="preserve"> </w:t>
      </w:r>
      <w:r>
        <w:t xml:space="preserve">to verify media reliability. (CP-9(1))</w:t>
      </w:r>
    </w:p>
    <w:p>
      <w:pPr>
        <w:pStyle w:val="Compact"/>
        <w:numPr>
          <w:ilvl w:val="0"/>
          <w:numId w:val="1160"/>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information integrity. Typical: quarterly]</w:t>
      </w:r>
      <w:r>
        <w:t xml:space="preserve"> </w:t>
      </w:r>
      <w:r>
        <w:t xml:space="preserve">to verify information integrity. (CP-9(1))</w:t>
      </w:r>
    </w:p>
    <w:bookmarkEnd w:id="214"/>
    <w:bookmarkStart w:id="215" w:name="test-restoration-using-sampling-cp-92"/>
    <w:p>
      <w:pPr>
        <w:pStyle w:val="Heading4"/>
      </w:pPr>
      <w:r>
        <w:t xml:space="preserve">Test restoration using sampling (CP-9(2))</w:t>
      </w:r>
    </w:p>
    <w:p>
      <w:pPr>
        <w:pStyle w:val="Compact"/>
        <w:numPr>
          <w:ilvl w:val="0"/>
          <w:numId w:val="1161"/>
        </w:numPr>
      </w:pPr>
      <w:r>
        <w:t xml:space="preserve">The</w:t>
      </w:r>
      <w:r>
        <w:t xml:space="preserve"> </w:t>
      </w:r>
      <w:r>
        <w:rPr>
          <w:rStyle w:val="Fill-in"/>
        </w:rPr>
        <w:t xml:space="preserve">[System owner]</w:t>
      </w:r>
      <w:r>
        <w:t xml:space="preserve"> </w:t>
      </w:r>
      <w:r>
        <w:t xml:space="preserve">shall use a sample of backup information to restore selected system functions as part of contingency plan testing. (CP-9(2))</w:t>
      </w:r>
    </w:p>
    <w:bookmarkEnd w:id="215"/>
    <w:bookmarkStart w:id="216" w:name="X5fe1d182565223726e0da9b03abe8f94b880e08"/>
    <w:p>
      <w:pPr>
        <w:pStyle w:val="Heading4"/>
      </w:pPr>
      <w:r>
        <w:t xml:space="preserve">Separate storage for critical information (CP-9(3))</w:t>
      </w:r>
    </w:p>
    <w:p>
      <w:pPr>
        <w:pStyle w:val="Compact"/>
        <w:numPr>
          <w:ilvl w:val="0"/>
          <w:numId w:val="1162"/>
        </w:numPr>
      </w:pPr>
      <w:r>
        <w:t xml:space="preserve">The</w:t>
      </w:r>
      <w:r>
        <w:t xml:space="preserve"> </w:t>
      </w:r>
      <w:r>
        <w:rPr>
          <w:rStyle w:val="Fill-in"/>
        </w:rPr>
        <w:t xml:space="preserve">[System owner]</w:t>
      </w:r>
      <w:r>
        <w:t xml:space="preserve"> </w:t>
      </w:r>
      <w:r>
        <w:t xml:space="preserve">shall store backup copies of</w:t>
      </w:r>
      <w:r>
        <w:t xml:space="preserve"> </w:t>
      </w:r>
      <w:r>
        <w:rPr>
          <w:rStyle w:val="Fill-in"/>
        </w:rPr>
        <w:t xml:space="preserve">[Fill in: critical system software and other security-related information backups to be stored in a separate facility. Typical: system software, configuration baselines, and security-related information such as cryptographic key backups]</w:t>
      </w:r>
      <w:r>
        <w:t xml:space="preserve"> </w:t>
      </w:r>
      <w:r>
        <w:t xml:space="preserve">in a separate facility, or in a fire-rated container not collocated with the operational system. (CP-9(3))</w:t>
      </w:r>
    </w:p>
    <w:bookmarkEnd w:id="216"/>
    <w:bookmarkStart w:id="217" w:name="transfer-to-alternate-storage-site-cp-95"/>
    <w:p>
      <w:pPr>
        <w:pStyle w:val="Heading4"/>
      </w:pPr>
      <w:r>
        <w:t xml:space="preserve">Transfer to alternate storage site (CP-9(5))</w:t>
      </w:r>
    </w:p>
    <w:p>
      <w:pPr>
        <w:pStyle w:val="Compact"/>
        <w:numPr>
          <w:ilvl w:val="0"/>
          <w:numId w:val="1163"/>
        </w:numPr>
      </w:pPr>
      <w:r>
        <w:t xml:space="preserve">The</w:t>
      </w:r>
      <w:r>
        <w:t xml:space="preserve"> </w:t>
      </w:r>
      <w:r>
        <w:rPr>
          <w:rStyle w:val="Fill-in"/>
        </w:rPr>
        <w:t xml:space="preserve">[System owner]</w:t>
      </w:r>
      <w:r>
        <w:t xml:space="preserve"> </w:t>
      </w:r>
      <w:r>
        <w:t xml:space="preserve">shall transfer system backup information to the alternate storage site</w:t>
      </w:r>
      <w:r>
        <w:t xml:space="preserve"> </w:t>
      </w:r>
      <w:r>
        <w:rPr>
          <w:rStyle w:val="Fill-in"/>
        </w:rPr>
        <w:t xml:space="preserve">[Fill in: time period consistent with recovery time and recovery point objectives. Typical: daily]</w:t>
      </w:r>
      <w:r>
        <w:t xml:space="preserve">, at</w:t>
      </w:r>
      <w:r>
        <w:t xml:space="preserve"> </w:t>
      </w:r>
      <w:r>
        <w:rPr>
          <w:rStyle w:val="Fill-in"/>
        </w:rPr>
        <w:t xml:space="preserve">[Fill in: transfer rate consistent with recovery time and recovery point objectives. Typical: a rate that keeps the alternate copy within the recovery point objective]</w:t>
      </w:r>
      <w:r>
        <w:t xml:space="preserve">. (CP-9(5))</w:t>
      </w:r>
    </w:p>
    <w:bookmarkEnd w:id="217"/>
    <w:bookmarkStart w:id="220" w:name="cryptographic-protection-cp-98"/>
    <w:p>
      <w:pPr>
        <w:pStyle w:val="Heading4"/>
      </w:pPr>
      <w:r>
        <w:t xml:space="preserve">Cryptographic protection (CP-9(8))</w:t>
      </w:r>
    </w:p>
    <w:p>
      <w:pPr>
        <w:pStyle w:val="Guidance"/>
      </w:pPr>
      <w:r>
        <w:t xml:space="preserve">Encrypt backups with the cryptography the organization approves under SC-13, and keep the keys where a loss of the primary site does not take them too.</w:t>
      </w:r>
    </w:p>
    <w:p>
      <w:pPr>
        <w:pStyle w:val="Compact"/>
        <w:numPr>
          <w:ilvl w:val="0"/>
          <w:numId w:val="1164"/>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backup information to protect against unauthorized disclosure and modification. Typical: all backup information]</w:t>
      </w:r>
      <w:r>
        <w:t xml:space="preserve">. (CP-9(8))</w:t>
      </w:r>
    </w:p>
    <w:bookmarkStart w:id="219" w:name="federal-systems-11"/>
    <w:p>
      <w:pPr>
        <w:pStyle w:val="Heading5"/>
      </w:pPr>
      <w:r>
        <w:t xml:space="preserve">Federal systems</w:t>
      </w:r>
    </w:p>
    <w:p>
      <w:pPr>
        <w:pStyle w:val="FirstParagraph"/>
      </w:pPr>
      <w:r>
        <w:t xml:space="preserve">Federal systems use cryptographic modules validated by the NIST Cryptographic Module Validation Program, as SC-13 requires. The CMVP’s</w:t>
      </w:r>
      <w:r>
        <w:t xml:space="preserve"> </w:t>
      </w:r>
      <w:hyperlink r:id="rId218">
        <w:r>
          <w:rPr>
            <w:rStyle w:val="Hyperlink"/>
          </w:rPr>
          <w:t xml:space="preserve">FIPS 140-3 transition page</w:t>
        </w:r>
      </w:hyperlink>
      <w:r>
        <w:t xml:space="preserve"> </w:t>
      </w:r>
      <w:r>
        <w:t xml:space="preserve">sets the schedule for moving FIPS 140-2 validations to the Historical List in September 2026, and says that modules on the Historical List remain supported for existing systems (as of September 2026).</w:t>
      </w:r>
    </w:p>
    <w:p>
      <w:pPr>
        <w:pStyle w:val="Compact"/>
        <w:numPr>
          <w:ilvl w:val="0"/>
          <w:numId w:val="1165"/>
        </w:numPr>
      </w:pPr>
      <w:r>
        <w:t xml:space="preserve">The</w:t>
      </w:r>
      <w:r>
        <w:t xml:space="preserve"> </w:t>
      </w:r>
      <w:r>
        <w:rPr>
          <w:rStyle w:val="Fill-in"/>
        </w:rPr>
        <w:t xml:space="preserve">[System owner]</w:t>
      </w:r>
      <w:r>
        <w:t xml:space="preserve"> </w:t>
      </w:r>
      <w:r>
        <w:t xml:space="preserve">shall encrypt backup information with CMVP-validated cryptographic modules. (CP-9(8))</w:t>
      </w:r>
    </w:p>
    <w:bookmarkEnd w:id="219"/>
    <w:bookmarkEnd w:id="220"/>
    <w:bookmarkStart w:id="221" w:name="system-recovery-and-reconstitution-cp-10"/>
    <w:p>
      <w:pPr>
        <w:pStyle w:val="Heading4"/>
      </w:pPr>
      <w:r>
        <w:t xml:space="preserve">System recovery and reconstitution (CP-10)</w:t>
      </w:r>
    </w:p>
    <w:p>
      <w:pPr>
        <w:pStyle w:val="Guidance"/>
      </w:pPr>
      <w:r>
        <w:t xml:space="preserve">Recovery brings the system back into operation; reconstitution returns it to its fully operational, secure state, with its controls working and checked. After a compromise, recover from backups known to be clean.</w:t>
      </w:r>
    </w:p>
    <w:p>
      <w:pPr>
        <w:pStyle w:val="Compact"/>
        <w:numPr>
          <w:ilvl w:val="0"/>
          <w:numId w:val="1166"/>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166"/>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221"/>
    <w:bookmarkStart w:id="222" w:name="transaction-recovery-cp-102"/>
    <w:p>
      <w:pPr>
        <w:pStyle w:val="Heading4"/>
      </w:pPr>
      <w:r>
        <w:t xml:space="preserve">Transaction recovery (CP-10(2))</w:t>
      </w:r>
    </w:p>
    <w:p>
      <w:pPr>
        <w:pStyle w:val="Compact"/>
        <w:numPr>
          <w:ilvl w:val="0"/>
          <w:numId w:val="1167"/>
        </w:numPr>
      </w:pPr>
      <w:r>
        <w:t xml:space="preserve">The</w:t>
      </w:r>
      <w:r>
        <w:t xml:space="preserve"> </w:t>
      </w:r>
      <w:r>
        <w:rPr>
          <w:rStyle w:val="Fill-in"/>
        </w:rPr>
        <w:t xml:space="preserve">[System owner]</w:t>
      </w:r>
      <w:r>
        <w:t xml:space="preserve"> </w:t>
      </w:r>
      <w:r>
        <w:t xml:space="preserve">shall implement transaction recovery for a transaction-based system. (CP-10(2))</w:t>
      </w:r>
    </w:p>
    <w:bookmarkEnd w:id="222"/>
    <w:bookmarkStart w:id="223" w:name="restore-within-time-period-cp-104"/>
    <w:p>
      <w:pPr>
        <w:pStyle w:val="Heading4"/>
      </w:pPr>
      <w:r>
        <w:t xml:space="preserve">Restore within time period (CP-10(4))</w:t>
      </w:r>
    </w:p>
    <w:p>
      <w:pPr>
        <w:pStyle w:val="Compact"/>
        <w:numPr>
          <w:ilvl w:val="0"/>
          <w:numId w:val="1168"/>
        </w:numPr>
      </w:pPr>
      <w:r>
        <w:t xml:space="preserve">The</w:t>
      </w:r>
      <w:r>
        <w:t xml:space="preserve"> </w:t>
      </w:r>
      <w:r>
        <w:rPr>
          <w:rStyle w:val="Fill-in"/>
        </w:rPr>
        <w:t xml:space="preserve">[System owner]</w:t>
      </w:r>
      <w:r>
        <w:t xml:space="preserve"> </w:t>
      </w:r>
      <w:r>
        <w:t xml:space="preserve">shall provide the capability to restore system components within</w:t>
      </w:r>
      <w:r>
        <w:t xml:space="preserve"> </w:t>
      </w:r>
      <w:r>
        <w:rPr>
          <w:rStyle w:val="Fill-in"/>
        </w:rPr>
        <w:t xml:space="preserve">[Fill in: restoration time period within which to restore system components to a known, operational state. Typical: the recovery time objective set for each component in the contingency plan]</w:t>
      </w:r>
      <w:r>
        <w:t xml:space="preserve"> </w:t>
      </w:r>
      <w:r>
        <w:t xml:space="preserve">from configuration-controlled and integrity-protected information representing a known, operational state for the components. (CP-10(4))</w:t>
      </w:r>
    </w:p>
    <w:bookmarkEnd w:id="223"/>
    <w:bookmarkEnd w:id="224"/>
    <w:bookmarkStart w:id="254" w:name="identification-and-authentication-ia"/>
    <w:p>
      <w:pPr>
        <w:pStyle w:val="Heading3"/>
      </w:pPr>
      <w:r>
        <w:t xml:space="preserve">Identification and Authentication (IA)</w:t>
      </w:r>
    </w:p>
    <w:bookmarkStart w:id="226" w:name="Xfc092cb0b940bb3c90827bc9571f7f13e18ad78"/>
    <w:p>
      <w:pPr>
        <w:pStyle w:val="Heading4"/>
      </w:pPr>
      <w:r>
        <w:t xml:space="preserve">Identification and authentication (organizational users) (IA-2)</w:t>
      </w:r>
    </w:p>
    <w:p>
      <w:pPr>
        <w:pStyle w:val="Guidance"/>
      </w:pPr>
      <w:r>
        <w:t xml:space="preserve">The</w:t>
      </w:r>
      <w:r>
        <w:t xml:space="preserve"> </w:t>
      </w:r>
      <w:hyperlink r:id="rId225">
        <w:r>
          <w:rPr>
            <w:rStyle w:val="Hyperlink"/>
          </w:rPr>
          <w:t xml:space="preserve">identification and authentication standard</w:t>
        </w:r>
      </w:hyperlink>
      <w:r>
        <w:t xml:space="preserve"> </w:t>
      </w:r>
      <w:r>
        <w:t xml:space="preserve">makes the IA-2 statements measurable: the assurance level for each group of users, the approved authenticators, which are required for privileged and non-privileged access, and a part where each system records how its users authenticate.</w:t>
      </w:r>
    </w:p>
    <w:p>
      <w:pPr>
        <w:pStyle w:val="Compact"/>
        <w:numPr>
          <w:ilvl w:val="0"/>
          <w:numId w:val="1169"/>
        </w:numPr>
      </w:pPr>
      <w:r>
        <w:t xml:space="preserve">The</w:t>
      </w:r>
      <w:r>
        <w:t xml:space="preserve"> </w:t>
      </w:r>
      <w:r>
        <w:rPr>
          <w:rStyle w:val="Fill-in"/>
        </w:rPr>
        <w:t xml:space="preserve">[System owner]</w:t>
      </w:r>
      <w:r>
        <w:t xml:space="preserve"> </w:t>
      </w:r>
      <w:r>
        <w:t xml:space="preserve">shall ensure the system uniquely identifies and authenticates organizational users. (IA-2)</w:t>
      </w:r>
    </w:p>
    <w:p>
      <w:pPr>
        <w:pStyle w:val="Compact"/>
        <w:numPr>
          <w:ilvl w:val="0"/>
          <w:numId w:val="1169"/>
        </w:numPr>
      </w:pPr>
      <w:r>
        <w:t xml:space="preserve">The</w:t>
      </w:r>
      <w:r>
        <w:t xml:space="preserve"> </w:t>
      </w:r>
      <w:r>
        <w:rPr>
          <w:rStyle w:val="Fill-in"/>
        </w:rPr>
        <w:t xml:space="preserve">[System owner]</w:t>
      </w:r>
      <w:r>
        <w:t xml:space="preserve"> </w:t>
      </w:r>
      <w:r>
        <w:t xml:space="preserve">shall ensure the system associates that unique identification with processes acting on behalf of those users. (IA-2)</w:t>
      </w:r>
    </w:p>
    <w:bookmarkEnd w:id="226"/>
    <w:bookmarkStart w:id="227" w:name="X10ca362e8ef34443d6116194eeeb1144c5e080b"/>
    <w:p>
      <w:pPr>
        <w:pStyle w:val="Heading4"/>
      </w:pPr>
      <w:r>
        <w:t xml:space="preserve">Multi-factor authentication to privileged accounts (IA-2(1))</w:t>
      </w:r>
    </w:p>
    <w:p>
      <w:pPr>
        <w:pStyle w:val="Compact"/>
        <w:numPr>
          <w:ilvl w:val="0"/>
          <w:numId w:val="1170"/>
        </w:numPr>
      </w:pPr>
      <w:r>
        <w:t xml:space="preserve">The</w:t>
      </w:r>
      <w:r>
        <w:t xml:space="preserve"> </w:t>
      </w:r>
      <w:r>
        <w:rPr>
          <w:rStyle w:val="Fill-in"/>
        </w:rPr>
        <w:t xml:space="preserve">[System owner]</w:t>
      </w:r>
      <w:r>
        <w:t xml:space="preserve"> </w:t>
      </w:r>
      <w:r>
        <w:t xml:space="preserve">shall implement multi-factor authentication for access to privileged accounts. (IA-2(1))</w:t>
      </w:r>
    </w:p>
    <w:bookmarkEnd w:id="227"/>
    <w:bookmarkStart w:id="228" w:name="Xc75032c33f8f596a3e4b90536171554e6e5350c"/>
    <w:p>
      <w:pPr>
        <w:pStyle w:val="Heading4"/>
      </w:pPr>
      <w:r>
        <w:t xml:space="preserve">Multi-factor authentication to non-privileged accounts (IA-2(2))</w:t>
      </w:r>
    </w:p>
    <w:p>
      <w:pPr>
        <w:pStyle w:val="Compact"/>
        <w:numPr>
          <w:ilvl w:val="0"/>
          <w:numId w:val="1171"/>
        </w:numPr>
      </w:pPr>
      <w:r>
        <w:t xml:space="preserve">The</w:t>
      </w:r>
      <w:r>
        <w:t xml:space="preserve"> </w:t>
      </w:r>
      <w:r>
        <w:rPr>
          <w:rStyle w:val="Fill-in"/>
        </w:rPr>
        <w:t xml:space="preserve">[System owner]</w:t>
      </w:r>
      <w:r>
        <w:t xml:space="preserve"> </w:t>
      </w:r>
      <w:r>
        <w:t xml:space="preserve">shall implement multi-factor authentication for access to non-privileged accounts. (IA-2(2))</w:t>
      </w:r>
    </w:p>
    <w:bookmarkEnd w:id="228"/>
    <w:bookmarkStart w:id="229" w:name="X33acf5099860041e46d0f8f7fd4518f580d21a8"/>
    <w:p>
      <w:pPr>
        <w:pStyle w:val="Heading4"/>
      </w:pPr>
      <w:r>
        <w:t xml:space="preserve">Individual authentication with group authentication (IA-2(5))</w:t>
      </w:r>
    </w:p>
    <w:p>
      <w:pPr>
        <w:pStyle w:val="Compact"/>
        <w:numPr>
          <w:ilvl w:val="0"/>
          <w:numId w:val="1172"/>
        </w:numPr>
      </w:pPr>
      <w:r>
        <w:t xml:space="preserve">Where shared accounts or authenticators are used, the</w:t>
      </w:r>
      <w:r>
        <w:t xml:space="preserve"> </w:t>
      </w:r>
      <w:r>
        <w:rPr>
          <w:rStyle w:val="Fill-in"/>
        </w:rPr>
        <w:t xml:space="preserve">[System owner]</w:t>
      </w:r>
      <w:r>
        <w:t xml:space="preserve"> </w:t>
      </w:r>
      <w:r>
        <w:t xml:space="preserve">shall require users to authenticate individually before granting access to the shared account or resource. (IA-2(5))</w:t>
      </w:r>
    </w:p>
    <w:bookmarkEnd w:id="229"/>
    <w:bookmarkStart w:id="230" w:name="Xda8cfb7fa1495b87fd11ec1d3143cf1959a309d"/>
    <w:p>
      <w:pPr>
        <w:pStyle w:val="Heading4"/>
      </w:pPr>
      <w:r>
        <w:t xml:space="preserve">Access to accounts: replay resistant (IA-2(8))</w:t>
      </w:r>
    </w:p>
    <w:p>
      <w:pPr>
        <w:pStyle w:val="Compact"/>
        <w:numPr>
          <w:ilvl w:val="0"/>
          <w:numId w:val="1173"/>
        </w:numPr>
      </w:pPr>
      <w:r>
        <w:t xml:space="preserve">The</w:t>
      </w:r>
      <w:r>
        <w:t xml:space="preserve"> </w:t>
      </w:r>
      <w:r>
        <w:rPr>
          <w:rStyle w:val="Fill-in"/>
        </w:rPr>
        <w:t xml:space="preserve">[System owner]</w:t>
      </w:r>
      <w:r>
        <w:t xml:space="preserve"> </w:t>
      </w:r>
      <w:r>
        <w:t xml:space="preserve">shall implement replay-resistant authentication mechanisms for access to</w:t>
      </w:r>
      <w:r>
        <w:t xml:space="preserve"> </w:t>
      </w:r>
      <w:r>
        <w:rPr>
          <w:rStyle w:val="Fill-in"/>
        </w:rPr>
        <w:t xml:space="preserve">[Select one or more: privileged accounts; non-privileged accounts. Typical: privileged accounts and non-privileged accounts]</w:t>
      </w:r>
      <w:r>
        <w:t xml:space="preserve">. (IA-2(8))</w:t>
      </w:r>
    </w:p>
    <w:bookmarkEnd w:id="230"/>
    <w:bookmarkStart w:id="233" w:name="acceptance-of-piv-credentials-ia-212"/>
    <w:p>
      <w:pPr>
        <w:pStyle w:val="Heading4"/>
      </w:pPr>
      <w:r>
        <w:t xml:space="preserve">Acceptance of PIV credentials (IA-2(12))</w:t>
      </w:r>
    </w:p>
    <w:p>
      <w:pPr>
        <w:pStyle w:val="Guidance"/>
      </w:pPr>
      <w:r>
        <w:t xml:space="preserve">Personal Identity Verification (PIV) is the U.S. federal smart card credential. An organization outside the federal government meets this enhancement where it relies on PIV or PIV-interoperable credentials; if it uses none, record the enhancement as not applicable in the system security plan with that reason.</w:t>
      </w:r>
    </w:p>
    <w:p>
      <w:pPr>
        <w:pStyle w:val="Compact"/>
        <w:numPr>
          <w:ilvl w:val="0"/>
          <w:numId w:val="1174"/>
        </w:numPr>
      </w:pPr>
      <w:r>
        <w:t xml:space="preserve">Where the organization issues or relies on Personal Identity Verification (PIV)-compliant credentials, the</w:t>
      </w:r>
      <w:r>
        <w:t xml:space="preserve"> </w:t>
      </w:r>
      <w:r>
        <w:rPr>
          <w:rStyle w:val="Fill-in"/>
        </w:rPr>
        <w:t xml:space="preserve">[System owner]</w:t>
      </w:r>
      <w:r>
        <w:t xml:space="preserve"> </w:t>
      </w:r>
      <w:r>
        <w:t xml:space="preserve">shall ensure the system accepts and electronically verifies them. (IA-2(12))</w:t>
      </w:r>
    </w:p>
    <w:bookmarkStart w:id="232" w:name="federal-systems-12"/>
    <w:p>
      <w:pPr>
        <w:pStyle w:val="Heading5"/>
      </w:pPr>
      <w:r>
        <w:t xml:space="preserve">Federal systems</w:t>
      </w:r>
    </w:p>
    <w:p>
      <w:pPr>
        <w:pStyle w:val="FirstParagraph"/>
      </w:pPr>
      <w:r>
        <w:t xml:space="preserve">Federal employees and contractors are issued PIV credentials under Homeland Security Presidential Directive 12 (HSPD-12) and</w:t>
      </w:r>
      <w:r>
        <w:t xml:space="preserve"> </w:t>
      </w:r>
      <w:hyperlink r:id="rId231">
        <w:r>
          <w:rPr>
            <w:rStyle w:val="Hyperlink"/>
          </w:rPr>
          <w:t xml:space="preserve">FIPS 201-3</w:t>
        </w:r>
      </w:hyperlink>
      <w:r>
        <w:t xml:space="preserve">, Personal Identity Verification (PIV) of Federal Employees and Contractors (January 2022).</w:t>
      </w:r>
    </w:p>
    <w:p>
      <w:pPr>
        <w:pStyle w:val="Compact"/>
        <w:numPr>
          <w:ilvl w:val="0"/>
          <w:numId w:val="1175"/>
        </w:numPr>
      </w:pPr>
      <w:r>
        <w:t xml:space="preserve">The</w:t>
      </w:r>
      <w:r>
        <w:t xml:space="preserve"> </w:t>
      </w:r>
      <w:r>
        <w:rPr>
          <w:rStyle w:val="Fill-in"/>
        </w:rPr>
        <w:t xml:space="preserve">[System owner]</w:t>
      </w:r>
      <w:r>
        <w:t xml:space="preserve"> </w:t>
      </w:r>
      <w:r>
        <w:t xml:space="preserve">shall ensure the system accepts and electronically verifies PIV credentials for organizational users. (IA-2(12))</w:t>
      </w:r>
    </w:p>
    <w:bookmarkEnd w:id="232"/>
    <w:bookmarkEnd w:id="233"/>
    <w:bookmarkStart w:id="234" w:name="X9592b99f1d56aac523ce860d6c2f7bce370e5f7"/>
    <w:p>
      <w:pPr>
        <w:pStyle w:val="Heading4"/>
      </w:pPr>
      <w:r>
        <w:t xml:space="preserve">Device identification and authentication (IA-3)</w:t>
      </w:r>
    </w:p>
    <w:p>
      <w:pPr>
        <w:pStyle w:val="Compact"/>
        <w:numPr>
          <w:ilvl w:val="0"/>
          <w:numId w:val="1176"/>
        </w:numPr>
      </w:pPr>
      <w:r>
        <w:t xml:space="preserve">The</w:t>
      </w:r>
      <w:r>
        <w:t xml:space="preserve"> </w:t>
      </w:r>
      <w:r>
        <w:rPr>
          <w:rStyle w:val="Fill-in"/>
        </w:rPr>
        <w:t xml:space="preserve">[System owner]</w:t>
      </w:r>
      <w:r>
        <w:t xml:space="preserve"> </w:t>
      </w:r>
      <w:r>
        <w:t xml:space="preserve">shall ensure the system uniquely identifies and authenticates</w:t>
      </w:r>
      <w:r>
        <w:t xml:space="preserve"> </w:t>
      </w:r>
      <w:r>
        <w:rPr>
          <w:rStyle w:val="Fill-in"/>
        </w:rPr>
        <w:t xml:space="preserve">[Fill in: devices and/or types of devices to be uniquely identified and authenticated before establishing a connection. Typical: all organization-managed endpoints, servers and network devices]</w:t>
      </w:r>
      <w:r>
        <w:t xml:space="preserve"> </w:t>
      </w:r>
      <w:r>
        <w:t xml:space="preserve">before establishing a</w:t>
      </w:r>
      <w:r>
        <w:t xml:space="preserve"> </w:t>
      </w:r>
      <w:r>
        <w:rPr>
          <w:rStyle w:val="Fill-in"/>
        </w:rPr>
        <w:t xml:space="preserve">[Select one or more: local; remote; network. Typical: remote and network]</w:t>
      </w:r>
      <w:r>
        <w:t xml:space="preserve"> </w:t>
      </w:r>
      <w:r>
        <w:t xml:space="preserve">connection. (IA-3)</w:t>
      </w:r>
    </w:p>
    <w:bookmarkEnd w:id="234"/>
    <w:bookmarkStart w:id="235" w:name="identifier-management-ia-4"/>
    <w:p>
      <w:pPr>
        <w:pStyle w:val="Heading4"/>
      </w:pPr>
      <w:r>
        <w:t xml:space="preserve">Identifier management (IA-4)</w:t>
      </w:r>
    </w:p>
    <w:p>
      <w:pPr>
        <w:pStyle w:val="Compact"/>
        <w:numPr>
          <w:ilvl w:val="0"/>
          <w:numId w:val="1177"/>
        </w:numPr>
      </w:pPr>
      <w:r>
        <w:t xml:space="preserve">The</w:t>
      </w:r>
      <w:r>
        <w:t xml:space="preserve"> </w:t>
      </w:r>
      <w:r>
        <w:rPr>
          <w:rStyle w:val="Fill-in"/>
        </w:rPr>
        <w:t xml:space="preserve">[Account manager]</w:t>
      </w:r>
      <w:r>
        <w:t xml:space="preserve"> </w:t>
      </w:r>
      <w:r>
        <w:t xml:space="preserve">shall assign an individual, group, role, service or device identifier only with authorization from</w:t>
      </w:r>
      <w:r>
        <w:t xml:space="preserve"> </w:t>
      </w:r>
      <w:r>
        <w:rPr>
          <w:rStyle w:val="Fill-in"/>
        </w:rPr>
        <w:t xml:space="preserve">[Fill in: personnel or roles from whom authorization must be received to assign an identifier. Typical: the system owner, through the approved access request]</w:t>
      </w:r>
      <w:r>
        <w:t xml:space="preserve">. (IA-4a)</w:t>
      </w:r>
    </w:p>
    <w:p>
      <w:pPr>
        <w:pStyle w:val="Compact"/>
        <w:numPr>
          <w:ilvl w:val="0"/>
          <w:numId w:val="1177"/>
        </w:numPr>
      </w:pPr>
      <w:r>
        <w:t xml:space="preserve">The</w:t>
      </w:r>
      <w:r>
        <w:t xml:space="preserve"> </w:t>
      </w:r>
      <w:r>
        <w:rPr>
          <w:rStyle w:val="Fill-in"/>
        </w:rPr>
        <w:t xml:space="preserve">[Account manager]</w:t>
      </w:r>
      <w:r>
        <w:t xml:space="preserve"> </w:t>
      </w:r>
      <w:r>
        <w:t xml:space="preserve">shall select an identifier that identifies the individual, group, role, service or device. (IA-4b)</w:t>
      </w:r>
    </w:p>
    <w:p>
      <w:pPr>
        <w:pStyle w:val="Compact"/>
        <w:numPr>
          <w:ilvl w:val="0"/>
          <w:numId w:val="1177"/>
        </w:numPr>
      </w:pPr>
      <w:r>
        <w:t xml:space="preserve">The</w:t>
      </w:r>
      <w:r>
        <w:t xml:space="preserve"> </w:t>
      </w:r>
      <w:r>
        <w:rPr>
          <w:rStyle w:val="Fill-in"/>
        </w:rPr>
        <w:t xml:space="preserve">[Account manager]</w:t>
      </w:r>
      <w:r>
        <w:t xml:space="preserve"> </w:t>
      </w:r>
      <w:r>
        <w:t xml:space="preserve">shall assign the identifier to the intended individual, group, role, service or device. (IA-4c)</w:t>
      </w:r>
    </w:p>
    <w:p>
      <w:pPr>
        <w:pStyle w:val="Compact"/>
        <w:numPr>
          <w:ilvl w:val="0"/>
          <w:numId w:val="1177"/>
        </w:numPr>
      </w:pPr>
      <w:r>
        <w:t xml:space="preserve">The</w:t>
      </w:r>
      <w:r>
        <w:t xml:space="preserve"> </w:t>
      </w:r>
      <w:r>
        <w:rPr>
          <w:rStyle w:val="Fill-in"/>
        </w:rPr>
        <w:t xml:space="preserve">[Account manager]</w:t>
      </w:r>
      <w:r>
        <w:t xml:space="preserve"> </w:t>
      </w:r>
      <w:r>
        <w:t xml:space="preserve">shall prevent reuse of identifiers for</w:t>
      </w:r>
      <w:r>
        <w:t xml:space="preserve"> </w:t>
      </w:r>
      <w:r>
        <w:rPr>
          <w:rStyle w:val="Fill-in"/>
        </w:rPr>
        <w:t xml:space="preserve">[Fill in: a time period for preventing reuse of identifiers. Typical: at least two years]</w:t>
      </w:r>
      <w:r>
        <w:t xml:space="preserve">. (IA-4d)</w:t>
      </w:r>
    </w:p>
    <w:bookmarkEnd w:id="235"/>
    <w:bookmarkStart w:id="236" w:name="identify-user-status-ia-44"/>
    <w:p>
      <w:pPr>
        <w:pStyle w:val="Heading4"/>
      </w:pPr>
      <w:r>
        <w:t xml:space="preserve">Identify user status (IA-4(4))</w:t>
      </w:r>
    </w:p>
    <w:p>
      <w:pPr>
        <w:pStyle w:val="Compact"/>
        <w:numPr>
          <w:ilvl w:val="0"/>
          <w:numId w:val="1178"/>
        </w:numPr>
      </w:pPr>
      <w:r>
        <w:t xml:space="preserve">The</w:t>
      </w:r>
      <w:r>
        <w:t xml:space="preserve"> </w:t>
      </w:r>
      <w:r>
        <w:rPr>
          <w:rStyle w:val="Fill-in"/>
        </w:rPr>
        <w:t xml:space="preserve">[Account manager]</w:t>
      </w:r>
      <w:r>
        <w:t xml:space="preserve"> </w:t>
      </w:r>
      <w:r>
        <w:t xml:space="preserve">shall manage individual identifiers so that each individual is uniquely identified as</w:t>
      </w:r>
      <w:r>
        <w:t xml:space="preserve"> </w:t>
      </w:r>
      <w:r>
        <w:rPr>
          <w:rStyle w:val="Fill-in"/>
        </w:rPr>
        <w:t xml:space="preserve">[Fill in: characteristics used to identify individual status. Typical: employee, contractor, or foreign national]</w:t>
      </w:r>
      <w:r>
        <w:t xml:space="preserve">. (IA-4(4))</w:t>
      </w:r>
    </w:p>
    <w:bookmarkEnd w:id="236"/>
    <w:bookmarkStart w:id="238" w:name="authenticator-management-ia-5"/>
    <w:p>
      <w:pPr>
        <w:pStyle w:val="Heading4"/>
      </w:pPr>
      <w:r>
        <w:t xml:space="preserve">Authenticator management (IA-5)</w:t>
      </w:r>
    </w:p>
    <w:p>
      <w:pPr>
        <w:pStyle w:val="Guidance"/>
      </w:pPr>
      <w:r>
        <w:t xml:space="preserve">For passwords,</w:t>
      </w:r>
      <w:r>
        <w:t xml:space="preserve"> </w:t>
      </w:r>
      <w:hyperlink r:id="rId237">
        <w:r>
          <w:rPr>
            <w:rStyle w:val="Hyperlink"/>
          </w:rPr>
          <w:t xml:space="preserve">NIST SP 800-63B-4</w:t>
        </w:r>
      </w:hyperlink>
      <w:r>
        <w:t xml:space="preserve"> </w:t>
      </w:r>
      <w:r>
        <w:t xml:space="preserve">(July 2025) says verifiers shall not require periodic changes, and shall force a change when there is evidence of compromise. Set the change periods below by authenticator type, and keep scheduled changes for secrets such as shared or service account keys. The</w:t>
      </w:r>
      <w:r>
        <w:t xml:space="preserve"> </w:t>
      </w:r>
      <w:hyperlink r:id="rId225">
        <w:r>
          <w:rPr>
            <w:rStyle w:val="Hyperlink"/>
          </w:rPr>
          <w:t xml:space="preserve">identification and authentication standard</w:t>
        </w:r>
      </w:hyperlink>
      <w:r>
        <w:t xml:space="preserve"> </w:t>
      </w:r>
      <w:r>
        <w:t xml:space="preserve">carries the procedures these statements call for: identity checks before issue and reset, binding, recovery, loss and revocation.</w:t>
      </w:r>
    </w:p>
    <w:p>
      <w:pPr>
        <w:pStyle w:val="Compact"/>
        <w:numPr>
          <w:ilvl w:val="0"/>
          <w:numId w:val="1179"/>
        </w:numPr>
      </w:pPr>
      <w:r>
        <w:t xml:space="preserve">The</w:t>
      </w:r>
      <w:r>
        <w:t xml:space="preserve"> </w:t>
      </w:r>
      <w:r>
        <w:rPr>
          <w:rStyle w:val="Fill-in"/>
        </w:rPr>
        <w:t xml:space="preserve">[Account manager]</w:t>
      </w:r>
      <w:r>
        <w:t xml:space="preserve"> </w:t>
      </w:r>
      <w:r>
        <w:t xml:space="preserve">shall verify the identity of the individual, group, role, service or device receiving an authenticator as part of its initial distribution. (IA-5a)</w:t>
      </w:r>
    </w:p>
    <w:p>
      <w:pPr>
        <w:pStyle w:val="Compact"/>
        <w:numPr>
          <w:ilvl w:val="0"/>
          <w:numId w:val="1179"/>
        </w:numPr>
      </w:pPr>
      <w:r>
        <w:t xml:space="preserve">The</w:t>
      </w:r>
      <w:r>
        <w:t xml:space="preserve"> </w:t>
      </w:r>
      <w:r>
        <w:rPr>
          <w:rStyle w:val="Fill-in"/>
        </w:rPr>
        <w:t xml:space="preserve">[Account manager]</w:t>
      </w:r>
      <w:r>
        <w:t xml:space="preserve"> </w:t>
      </w:r>
      <w:r>
        <w:t xml:space="preserve">shall establish the initial content of any authenticator the organization issues. (IA-5b)</w:t>
      </w:r>
    </w:p>
    <w:p>
      <w:pPr>
        <w:pStyle w:val="Compact"/>
        <w:numPr>
          <w:ilvl w:val="0"/>
          <w:numId w:val="1179"/>
        </w:numPr>
      </w:pPr>
      <w:r>
        <w:t xml:space="preserve">The</w:t>
      </w:r>
      <w:r>
        <w:t xml:space="preserve"> </w:t>
      </w:r>
      <w:r>
        <w:rPr>
          <w:rStyle w:val="Fill-in"/>
        </w:rPr>
        <w:t xml:space="preserve">[Chief Information Security Officer]</w:t>
      </w:r>
      <w:r>
        <w:t xml:space="preserve"> </w:t>
      </w:r>
      <w:r>
        <w:t xml:space="preserve">shall ensure authenticators have sufficient strength of mechanism for their intended use. (IA-5c)</w:t>
      </w:r>
    </w:p>
    <w:p>
      <w:pPr>
        <w:pStyle w:val="Compact"/>
        <w:numPr>
          <w:ilvl w:val="0"/>
          <w:numId w:val="1179"/>
        </w:numPr>
      </w:pPr>
      <w:r>
        <w:t xml:space="preserve">The</w:t>
      </w:r>
      <w:r>
        <w:t xml:space="preserve"> </w:t>
      </w:r>
      <w:r>
        <w:rPr>
          <w:rStyle w:val="Fill-in"/>
        </w:rPr>
        <w:t xml:space="preserve">[Chief Information Security Officer]</w:t>
      </w:r>
      <w:r>
        <w:t xml:space="preserve"> </w:t>
      </w:r>
      <w:r>
        <w:t xml:space="preserve">shall establish administrative procedures for initial authenticator distribution, for lost, compromised or damaged authenticators, and for revoking authenticators. (IA-5d)</w:t>
      </w:r>
    </w:p>
    <w:p>
      <w:pPr>
        <w:pStyle w:val="Compact"/>
        <w:numPr>
          <w:ilvl w:val="0"/>
          <w:numId w:val="1179"/>
        </w:numPr>
      </w:pPr>
      <w:r>
        <w:t xml:space="preserve">The</w:t>
      </w:r>
      <w:r>
        <w:t xml:space="preserve"> </w:t>
      </w:r>
      <w:r>
        <w:rPr>
          <w:rStyle w:val="Fill-in"/>
        </w:rPr>
        <w:t xml:space="preserve">[Account manager]</w:t>
      </w:r>
      <w:r>
        <w:t xml:space="preserve"> </w:t>
      </w:r>
      <w:r>
        <w:t xml:space="preserve">shall implement those procedures. (IA-5d)</w:t>
      </w:r>
    </w:p>
    <w:p>
      <w:pPr>
        <w:pStyle w:val="Compact"/>
        <w:numPr>
          <w:ilvl w:val="0"/>
          <w:numId w:val="1179"/>
        </w:numPr>
      </w:pPr>
      <w:r>
        <w:t xml:space="preserve">The</w:t>
      </w:r>
      <w:r>
        <w:t xml:space="preserve"> </w:t>
      </w:r>
      <w:r>
        <w:rPr>
          <w:rStyle w:val="Fill-in"/>
        </w:rPr>
        <w:t xml:space="preserve">[System owner]</w:t>
      </w:r>
      <w:r>
        <w:t xml:space="preserve"> </w:t>
      </w:r>
      <w:r>
        <w:t xml:space="preserve">shall ensure default authenticators are changed before first use. (IA-5e)</w:t>
      </w:r>
    </w:p>
    <w:p>
      <w:pPr>
        <w:pStyle w:val="Compact"/>
        <w:numPr>
          <w:ilvl w:val="0"/>
          <w:numId w:val="1179"/>
        </w:numPr>
      </w:pPr>
      <w:r>
        <w:t xml:space="preserve">The</w:t>
      </w:r>
      <w:r>
        <w:t xml:space="preserve"> </w:t>
      </w:r>
      <w:r>
        <w:rPr>
          <w:rStyle w:val="Fill-in"/>
        </w:rPr>
        <w:t xml:space="preserve">[Account manager]</w:t>
      </w:r>
      <w:r>
        <w:t xml:space="preserve"> </w:t>
      </w:r>
      <w:r>
        <w:t xml:space="preserve">shall change or refresh authenticators as follows:</w:t>
      </w:r>
      <w:r>
        <w:t xml:space="preserve"> </w:t>
      </w:r>
      <w:r>
        <w:rPr>
          <w:rStyle w:val="Fill-in"/>
        </w:rPr>
        <w:t xml:space="preserve">[Fill in: a time period for changing or refreshing authenticators by authenticator type. Typical: no scheduled change for user passwords; certificates at expiry; shared and service account secrets at least annually]</w:t>
      </w:r>
      <w:r>
        <w:t xml:space="preserve">. (IA-5f)</w:t>
      </w:r>
    </w:p>
    <w:p>
      <w:pPr>
        <w:pStyle w:val="Compact"/>
        <w:numPr>
          <w:ilvl w:val="0"/>
          <w:numId w:val="1179"/>
        </w:numPr>
      </w:pPr>
      <w:r>
        <w:t xml:space="preserve">The</w:t>
      </w:r>
      <w:r>
        <w:t xml:space="preserve"> </w:t>
      </w:r>
      <w:r>
        <w:rPr>
          <w:rStyle w:val="Fill-in"/>
        </w:rPr>
        <w:t xml:space="preserve">[Account manager]</w:t>
      </w:r>
      <w:r>
        <w:t xml:space="preserve"> </w:t>
      </w:r>
      <w:r>
        <w:t xml:space="preserve">shall change or refresh authenticators when</w:t>
      </w:r>
      <w:r>
        <w:t xml:space="preserve"> </w:t>
      </w:r>
      <w:r>
        <w:rPr>
          <w:rStyle w:val="Fill-in"/>
        </w:rPr>
        <w:t xml:space="preserve">[Fill in: events that trigger the change or refreshment of authenticators. Typical: evidence or suspicion of compromise, and departure of a person who knew a shared authenticator]</w:t>
      </w:r>
      <w:r>
        <w:t xml:space="preserve"> </w:t>
      </w:r>
      <w:r>
        <w:t xml:space="preserve">occur. (IA-5f)</w:t>
      </w:r>
    </w:p>
    <w:p>
      <w:pPr>
        <w:pStyle w:val="Compact"/>
        <w:numPr>
          <w:ilvl w:val="0"/>
          <w:numId w:val="1179"/>
        </w:numPr>
      </w:pPr>
      <w:r>
        <w:t xml:space="preserve">The</w:t>
      </w:r>
      <w:r>
        <w:t xml:space="preserve"> </w:t>
      </w:r>
      <w:r>
        <w:rPr>
          <w:rStyle w:val="Fill-in"/>
        </w:rPr>
        <w:t xml:space="preserve">[System owner]</w:t>
      </w:r>
      <w:r>
        <w:t xml:space="preserve"> </w:t>
      </w:r>
      <w:r>
        <w:t xml:space="preserve">shall protect authenticator content from unauthorized disclosure and modification. (IA-5g)</w:t>
      </w:r>
    </w:p>
    <w:p>
      <w:pPr>
        <w:pStyle w:val="Compact"/>
        <w:numPr>
          <w:ilvl w:val="0"/>
          <w:numId w:val="1179"/>
        </w:numPr>
      </w:pPr>
      <w:r>
        <w:t xml:space="preserve">Users shall protect their authenticators as the rules of behavior require. (IA-5h)</w:t>
      </w:r>
    </w:p>
    <w:p>
      <w:pPr>
        <w:pStyle w:val="Compact"/>
        <w:numPr>
          <w:ilvl w:val="0"/>
          <w:numId w:val="1179"/>
        </w:numPr>
      </w:pPr>
      <w:r>
        <w:t xml:space="preserve">The</w:t>
      </w:r>
      <w:r>
        <w:t xml:space="preserve"> </w:t>
      </w:r>
      <w:r>
        <w:rPr>
          <w:rStyle w:val="Fill-in"/>
        </w:rPr>
        <w:t xml:space="preserve">[System owner]</w:t>
      </w:r>
      <w:r>
        <w:t xml:space="preserve"> </w:t>
      </w:r>
      <w:r>
        <w:t xml:space="preserve">shall ensure devices implement the controls that protect authenticators. (IA-5h)</w:t>
      </w:r>
    </w:p>
    <w:p>
      <w:pPr>
        <w:pStyle w:val="Compact"/>
        <w:numPr>
          <w:ilvl w:val="0"/>
          <w:numId w:val="1179"/>
        </w:numPr>
      </w:pPr>
      <w:r>
        <w:t xml:space="preserve">The</w:t>
      </w:r>
      <w:r>
        <w:t xml:space="preserve"> </w:t>
      </w:r>
      <w:r>
        <w:rPr>
          <w:rStyle w:val="Fill-in"/>
        </w:rPr>
        <w:t xml:space="preserve">[Account manager]</w:t>
      </w:r>
      <w:r>
        <w:t xml:space="preserve"> </w:t>
      </w:r>
      <w:r>
        <w:t xml:space="preserve">shall change the authenticators of group or role accounts when membership of those accounts changes. (IA-5i)</w:t>
      </w:r>
    </w:p>
    <w:bookmarkEnd w:id="238"/>
    <w:bookmarkStart w:id="239" w:name="password-based-authentication-ia-51"/>
    <w:p>
      <w:pPr>
        <w:pStyle w:val="Heading4"/>
      </w:pPr>
      <w:r>
        <w:t xml:space="preserve">Password-based authentication (IA-5(1))</w:t>
      </w:r>
    </w:p>
    <w:p>
      <w:pPr>
        <w:pStyle w:val="Guidance"/>
      </w:pPr>
      <w:r>
        <w:t xml:space="preserve">The typical values follow</w:t>
      </w:r>
      <w:r>
        <w:t xml:space="preserve"> </w:t>
      </w:r>
      <w:hyperlink r:id="rId237">
        <w:r>
          <w:rPr>
            <w:rStyle w:val="Hyperlink"/>
          </w:rPr>
          <w:t xml:space="preserve">NIST SP 800-63B-4</w:t>
        </w:r>
      </w:hyperlink>
      <w:r>
        <w:t xml:space="preserve"> </w:t>
      </w:r>
      <w:r>
        <w:t xml:space="preserve">(July 2025): a minimum of 15 characters for a password used alone and 8 when it is one factor of several, no other composition rules, at least 64 characters allowed, and a check against a list of common and breached passwords. Section 7 of the</w:t>
      </w:r>
      <w:r>
        <w:t xml:space="preserve"> </w:t>
      </w:r>
      <w:hyperlink r:id="rId225">
        <w:r>
          <w:rPr>
            <w:rStyle w:val="Hyperlink"/>
          </w:rPr>
          <w:t xml:space="preserve">identification and authentication standard</w:t>
        </w:r>
      </w:hyperlink>
      <w:r>
        <w:t xml:space="preserve"> </w:t>
      </w:r>
      <w:r>
        <w:t xml:space="preserve">sets out the full password rules.</w:t>
      </w:r>
    </w:p>
    <w:p>
      <w:pPr>
        <w:pStyle w:val="Compact"/>
        <w:numPr>
          <w:ilvl w:val="0"/>
          <w:numId w:val="1180"/>
        </w:numPr>
      </w:pPr>
      <w:r>
        <w:t xml:space="preserve">The</w:t>
      </w:r>
      <w:r>
        <w:t xml:space="preserve"> </w:t>
      </w:r>
      <w:r>
        <w:rPr>
          <w:rStyle w:val="Fill-in"/>
        </w:rPr>
        <w:t xml:space="preserve">[System owner]</w:t>
      </w:r>
      <w:r>
        <w:t xml:space="preserve"> </w:t>
      </w:r>
      <w:r>
        <w:t xml:space="preserve">shall maintain a list of commonly used, expected or compromised passwords, and update it</w:t>
      </w:r>
      <w:r>
        <w:t xml:space="preserve"> </w:t>
      </w:r>
      <w:r>
        <w:rPr>
          <w:rStyle w:val="Fill-in"/>
        </w:rPr>
        <w:t xml:space="preserve">[Fill in: the frequency at which to update the list of commonly used, expected, or compromised passwords. Typical: at least monthly, and whenever a relevant breach corpus is published]</w:t>
      </w:r>
      <w:r>
        <w:t xml:space="preserve"> </w:t>
      </w:r>
      <w:r>
        <w:t xml:space="preserve">and when organizational passwords are suspected to have been compromised. (IA-5(1)(a))</w:t>
      </w:r>
    </w:p>
    <w:p>
      <w:pPr>
        <w:pStyle w:val="Compact"/>
        <w:numPr>
          <w:ilvl w:val="0"/>
          <w:numId w:val="1180"/>
        </w:numPr>
      </w:pPr>
      <w:r>
        <w:t xml:space="preserve">The</w:t>
      </w:r>
      <w:r>
        <w:t xml:space="preserve"> </w:t>
      </w:r>
      <w:r>
        <w:rPr>
          <w:rStyle w:val="Fill-in"/>
        </w:rPr>
        <w:t xml:space="preserve">[System owner]</w:t>
      </w:r>
      <w:r>
        <w:t xml:space="preserve"> </w:t>
      </w:r>
      <w:r>
        <w:t xml:space="preserve">shall ensure the system verifies, when users create or update passwords, that the passwords are not on that list. (IA-5(1)(b))</w:t>
      </w:r>
    </w:p>
    <w:p>
      <w:pPr>
        <w:pStyle w:val="Compact"/>
        <w:numPr>
          <w:ilvl w:val="0"/>
          <w:numId w:val="1180"/>
        </w:numPr>
      </w:pPr>
      <w:r>
        <w:t xml:space="preserve">The</w:t>
      </w:r>
      <w:r>
        <w:t xml:space="preserve"> </w:t>
      </w:r>
      <w:r>
        <w:rPr>
          <w:rStyle w:val="Fill-in"/>
        </w:rPr>
        <w:t xml:space="preserve">[System owner]</w:t>
      </w:r>
      <w:r>
        <w:t xml:space="preserve"> </w:t>
      </w:r>
      <w:r>
        <w:t xml:space="preserve">shall ensure passwords are transmitted only over cryptographically protected channels. (IA-5(1)(c))</w:t>
      </w:r>
    </w:p>
    <w:p>
      <w:pPr>
        <w:pStyle w:val="Compact"/>
        <w:numPr>
          <w:ilvl w:val="0"/>
          <w:numId w:val="1180"/>
        </w:numPr>
      </w:pPr>
      <w:r>
        <w:t xml:space="preserve">The</w:t>
      </w:r>
      <w:r>
        <w:t xml:space="preserve"> </w:t>
      </w:r>
      <w:r>
        <w:rPr>
          <w:rStyle w:val="Fill-in"/>
        </w:rPr>
        <w:t xml:space="preserve">[System owner]</w:t>
      </w:r>
      <w:r>
        <w:t xml:space="preserve"> </w:t>
      </w:r>
      <w:r>
        <w:t xml:space="preserve">shall ensure passwords are stored using an approved salted key derivation function, preferably using a keyed hash. (IA-5(1)(d))</w:t>
      </w:r>
    </w:p>
    <w:p>
      <w:pPr>
        <w:pStyle w:val="Compact"/>
        <w:numPr>
          <w:ilvl w:val="0"/>
          <w:numId w:val="1180"/>
        </w:numPr>
      </w:pPr>
      <w:r>
        <w:t xml:space="preserve">The</w:t>
      </w:r>
      <w:r>
        <w:t xml:space="preserve"> </w:t>
      </w:r>
      <w:r>
        <w:rPr>
          <w:rStyle w:val="Fill-in"/>
        </w:rPr>
        <w:t xml:space="preserve">[System owner]</w:t>
      </w:r>
      <w:r>
        <w:t xml:space="preserve"> </w:t>
      </w:r>
      <w:r>
        <w:t xml:space="preserve">shall ensure the system requires immediate selection of a new password upon account recovery. (IA-5(1)(e))</w:t>
      </w:r>
    </w:p>
    <w:p>
      <w:pPr>
        <w:pStyle w:val="Compact"/>
        <w:numPr>
          <w:ilvl w:val="0"/>
          <w:numId w:val="1180"/>
        </w:numPr>
      </w:pPr>
      <w:r>
        <w:t xml:space="preserve">The</w:t>
      </w:r>
      <w:r>
        <w:t xml:space="preserve"> </w:t>
      </w:r>
      <w:r>
        <w:rPr>
          <w:rStyle w:val="Fill-in"/>
        </w:rPr>
        <w:t xml:space="preserve">[System owner]</w:t>
      </w:r>
      <w:r>
        <w:t xml:space="preserve"> </w:t>
      </w:r>
      <w:r>
        <w:t xml:space="preserve">shall ensure the system allows long passwords and passphrases, including spaces and all printable characters. (IA-5(1)(f))</w:t>
      </w:r>
    </w:p>
    <w:p>
      <w:pPr>
        <w:pStyle w:val="Compact"/>
        <w:numPr>
          <w:ilvl w:val="0"/>
          <w:numId w:val="1180"/>
        </w:numPr>
      </w:pPr>
      <w:r>
        <w:t xml:space="preserve">The</w:t>
      </w:r>
      <w:r>
        <w:t xml:space="preserve"> </w:t>
      </w:r>
      <w:r>
        <w:rPr>
          <w:rStyle w:val="Fill-in"/>
        </w:rPr>
        <w:t xml:space="preserve">[System owner]</w:t>
      </w:r>
      <w:r>
        <w:t xml:space="preserve"> </w:t>
      </w:r>
      <w:r>
        <w:t xml:space="preserve">shall employ automated tools to help users select strong passwords. (IA-5(1)(g))</w:t>
      </w:r>
    </w:p>
    <w:p>
      <w:pPr>
        <w:pStyle w:val="Compact"/>
        <w:numPr>
          <w:ilvl w:val="0"/>
          <w:numId w:val="1180"/>
        </w:numPr>
      </w:pPr>
      <w:r>
        <w:t xml:space="preserve">The</w:t>
      </w:r>
      <w:r>
        <w:t xml:space="preserve"> </w:t>
      </w:r>
      <w:r>
        <w:rPr>
          <w:rStyle w:val="Fill-in"/>
        </w:rPr>
        <w:t xml:space="preserve">[System owner]</w:t>
      </w:r>
      <w:r>
        <w:t xml:space="preserve"> </w:t>
      </w:r>
      <w:r>
        <w:t xml:space="preserve">shall ensure the system enforces these composition and complexity rules:</w:t>
      </w:r>
      <w:r>
        <w:t xml:space="preserve"> </w:t>
      </w:r>
      <w:r>
        <w:rPr>
          <w:rStyle w:val="Fill-in"/>
        </w:rPr>
        <w:t xml:space="preserve">[Fill in: authenticator composition and complexity rules. Typical: a minimum length of 15 characters for passwords used as the only factor and 8 for passwords used with another factor, and no other composition rules]</w:t>
      </w:r>
      <w:r>
        <w:t xml:space="preserve">. (IA-5(1)(h))</w:t>
      </w:r>
    </w:p>
    <w:bookmarkEnd w:id="239"/>
    <w:bookmarkStart w:id="240" w:name="public-key-based-authentication-ia-52"/>
    <w:p>
      <w:pPr>
        <w:pStyle w:val="Heading4"/>
      </w:pPr>
      <w:r>
        <w:t xml:space="preserve">Public key-based authentication (IA-5(2))</w:t>
      </w:r>
    </w:p>
    <w:p>
      <w:pPr>
        <w:pStyle w:val="Compact"/>
        <w:numPr>
          <w:ilvl w:val="0"/>
          <w:numId w:val="1181"/>
        </w:numPr>
      </w:pPr>
      <w:r>
        <w:t xml:space="preserve">For public key-based authentication, the</w:t>
      </w:r>
      <w:r>
        <w:t xml:space="preserve"> </w:t>
      </w:r>
      <w:r>
        <w:rPr>
          <w:rStyle w:val="Fill-in"/>
        </w:rPr>
        <w:t xml:space="preserve">[System owner]</w:t>
      </w:r>
      <w:r>
        <w:t xml:space="preserve"> </w:t>
      </w:r>
      <w:r>
        <w:t xml:space="preserve">shall ensure the system enforces authorized access to the corresponding private key. (IA-5(2)(a)(1))</w:t>
      </w:r>
    </w:p>
    <w:p>
      <w:pPr>
        <w:pStyle w:val="Compact"/>
        <w:numPr>
          <w:ilvl w:val="0"/>
          <w:numId w:val="1181"/>
        </w:numPr>
      </w:pPr>
      <w:r>
        <w:t xml:space="preserve">For public key-based authentication, the</w:t>
      </w:r>
      <w:r>
        <w:t xml:space="preserve"> </w:t>
      </w:r>
      <w:r>
        <w:rPr>
          <w:rStyle w:val="Fill-in"/>
        </w:rPr>
        <w:t xml:space="preserve">[System owner]</w:t>
      </w:r>
      <w:r>
        <w:t xml:space="preserve"> </w:t>
      </w:r>
      <w:r>
        <w:t xml:space="preserve">shall ensure the system maps the authenticated identity to the account of the individual or group. (IA-5(2)(a)(2))</w:t>
      </w:r>
    </w:p>
    <w:p>
      <w:pPr>
        <w:pStyle w:val="Compact"/>
        <w:numPr>
          <w:ilvl w:val="0"/>
          <w:numId w:val="1181"/>
        </w:numPr>
      </w:pPr>
      <w:r>
        <w:t xml:space="preserve">When public key infrastructure is used, the</w:t>
      </w:r>
      <w:r>
        <w:t xml:space="preserve"> </w:t>
      </w:r>
      <w:r>
        <w:rPr>
          <w:rStyle w:val="Fill-in"/>
        </w:rPr>
        <w:t xml:space="preserve">[System owner]</w:t>
      </w:r>
      <w:r>
        <w:t xml:space="preserve"> </w:t>
      </w:r>
      <w:r>
        <w:t xml:space="preserve">shall ensure the system validates certificates by constructing and verifying a certification path to an accepted trust anchor, including checking certificate status. (IA-5(2)(b)(1))</w:t>
      </w:r>
    </w:p>
    <w:p>
      <w:pPr>
        <w:pStyle w:val="Compact"/>
        <w:numPr>
          <w:ilvl w:val="0"/>
          <w:numId w:val="1181"/>
        </w:numPr>
      </w:pPr>
      <w:r>
        <w:t xml:space="preserve">When public key infrastructure is used, the</w:t>
      </w:r>
      <w:r>
        <w:t xml:space="preserve"> </w:t>
      </w:r>
      <w:r>
        <w:rPr>
          <w:rStyle w:val="Fill-in"/>
        </w:rPr>
        <w:t xml:space="preserve">[System owner]</w:t>
      </w:r>
      <w:r>
        <w:t xml:space="preserve"> </w:t>
      </w:r>
      <w:r>
        <w:t xml:space="preserve">shall ensure the system keeps a local cache of revocation data to support path discovery and validation. (IA-5(2)(b)(2))</w:t>
      </w:r>
    </w:p>
    <w:bookmarkEnd w:id="240"/>
    <w:bookmarkStart w:id="241" w:name="protection-of-authenticators-ia-56"/>
    <w:p>
      <w:pPr>
        <w:pStyle w:val="Heading4"/>
      </w:pPr>
      <w:r>
        <w:t xml:space="preserve">Protection of authenticators (IA-5(6))</w:t>
      </w:r>
    </w:p>
    <w:p>
      <w:pPr>
        <w:pStyle w:val="Compact"/>
        <w:numPr>
          <w:ilvl w:val="0"/>
          <w:numId w:val="1182"/>
        </w:numPr>
      </w:pPr>
      <w:r>
        <w:t xml:space="preserve">The</w:t>
      </w:r>
      <w:r>
        <w:t xml:space="preserve"> </w:t>
      </w:r>
      <w:r>
        <w:rPr>
          <w:rStyle w:val="Fill-in"/>
        </w:rPr>
        <w:t xml:space="preserve">[System owner]</w:t>
      </w:r>
      <w:r>
        <w:t xml:space="preserve"> </w:t>
      </w:r>
      <w:r>
        <w:t xml:space="preserve">shall protect authenticators commensurate with the security category of the information that their use gives access to. (IA-5(6))</w:t>
      </w:r>
    </w:p>
    <w:bookmarkEnd w:id="241"/>
    <w:bookmarkStart w:id="242" w:name="authentication-feedback-ia-6"/>
    <w:p>
      <w:pPr>
        <w:pStyle w:val="Heading4"/>
      </w:pPr>
      <w:r>
        <w:t xml:space="preserve">Authentication feedback (IA-6)</w:t>
      </w:r>
    </w:p>
    <w:p>
      <w:pPr>
        <w:pStyle w:val="Compact"/>
        <w:numPr>
          <w:ilvl w:val="0"/>
          <w:numId w:val="1183"/>
        </w:numPr>
      </w:pPr>
      <w:r>
        <w:t xml:space="preserve">The</w:t>
      </w:r>
      <w:r>
        <w:t xml:space="preserve"> </w:t>
      </w:r>
      <w:r>
        <w:rPr>
          <w:rStyle w:val="Fill-in"/>
        </w:rPr>
        <w:t xml:space="preserve">[System owner]</w:t>
      </w:r>
      <w:r>
        <w:t xml:space="preserve"> </w:t>
      </w:r>
      <w:r>
        <w:t xml:space="preserve">shall ensure the system obscures feedback of authentication information during authentication, so it cannot be exploited by unauthorized individuals. (IA-6)</w:t>
      </w:r>
    </w:p>
    <w:bookmarkEnd w:id="242"/>
    <w:bookmarkStart w:id="243" w:name="cryptographic-module-authentication-ia-7"/>
    <w:p>
      <w:pPr>
        <w:pStyle w:val="Heading4"/>
      </w:pPr>
      <w:r>
        <w:t xml:space="preserve">Cryptographic module authentication (IA-7)</w:t>
      </w:r>
    </w:p>
    <w:p>
      <w:pPr>
        <w:pStyle w:val="Compact"/>
        <w:numPr>
          <w:ilvl w:val="0"/>
          <w:numId w:val="1184"/>
        </w:numPr>
      </w:pPr>
      <w:r>
        <w:t xml:space="preserve">The</w:t>
      </w:r>
      <w:r>
        <w:t xml:space="preserve"> </w:t>
      </w:r>
      <w:r>
        <w:rPr>
          <w:rStyle w:val="Fill-in"/>
        </w:rPr>
        <w:t xml:space="preserve">[System owner]</w:t>
      </w:r>
      <w:r>
        <w:t xml:space="preserve"> </w:t>
      </w:r>
      <w:r>
        <w:t xml:space="preserve">shall implement mechanisms for authentication to a cryptographic module that meet the laws, executive orders, directives, policies, regulations, standards and guidelines that apply to such authentication. (IA-7)</w:t>
      </w:r>
    </w:p>
    <w:bookmarkEnd w:id="243"/>
    <w:bookmarkStart w:id="244" w:name="X2b07957ea80570e9ead57d83aaa3033ad09a62b"/>
    <w:p>
      <w:pPr>
        <w:pStyle w:val="Heading4"/>
      </w:pPr>
      <w:r>
        <w:t xml:space="preserve">Identification and authentication (non-organizational users) (IA-8)</w:t>
      </w:r>
    </w:p>
    <w:p>
      <w:pPr>
        <w:pStyle w:val="Compact"/>
        <w:numPr>
          <w:ilvl w:val="0"/>
          <w:numId w:val="1185"/>
        </w:numPr>
      </w:pPr>
      <w:r>
        <w:t xml:space="preserve">The</w:t>
      </w:r>
      <w:r>
        <w:t xml:space="preserve"> </w:t>
      </w:r>
      <w:r>
        <w:rPr>
          <w:rStyle w:val="Fill-in"/>
        </w:rPr>
        <w:t xml:space="preserve">[System owner]</w:t>
      </w:r>
      <w:r>
        <w:t xml:space="preserve"> </w:t>
      </w:r>
      <w:r>
        <w:t xml:space="preserve">shall ensure the system uniquely identifies and authenticates non-organizational users and processes acting on their behalf. (IA-8)</w:t>
      </w:r>
    </w:p>
    <w:bookmarkEnd w:id="244"/>
    <w:bookmarkStart w:id="245" w:name="Xb563bcad0b4a0efea7541087a3ea4f0d3f95d18"/>
    <w:p>
      <w:pPr>
        <w:pStyle w:val="Heading4"/>
      </w:pPr>
      <w:r>
        <w:t xml:space="preserve">Acceptance of PIV credentials from other agencies (IA-8(1))</w:t>
      </w:r>
    </w:p>
    <w:p>
      <w:pPr>
        <w:pStyle w:val="Guidance"/>
      </w:pPr>
      <w:r>
        <w:t xml:space="preserve">This enhancement applies where federal employees or contractors from other agencies use the system. Outside that case, record it as not applicable in the system security plan with that reason.</w:t>
      </w:r>
    </w:p>
    <w:p>
      <w:pPr>
        <w:pStyle w:val="Compact"/>
        <w:numPr>
          <w:ilvl w:val="0"/>
          <w:numId w:val="1186"/>
        </w:numPr>
      </w:pPr>
      <w:r>
        <w:t xml:space="preserve">Where users from federal agencies access the system, the</w:t>
      </w:r>
      <w:r>
        <w:t xml:space="preserve"> </w:t>
      </w:r>
      <w:r>
        <w:rPr>
          <w:rStyle w:val="Fill-in"/>
        </w:rPr>
        <w:t xml:space="preserve">[System owner]</w:t>
      </w:r>
      <w:r>
        <w:t xml:space="preserve"> </w:t>
      </w:r>
      <w:r>
        <w:t xml:space="preserve">shall ensure it accepts and electronically verifies their Personal Identity Verification (PIV)-compliant credentials. (IA-8(1))</w:t>
      </w:r>
    </w:p>
    <w:bookmarkEnd w:id="245"/>
    <w:bookmarkStart w:id="246" w:name="X4af41985cb0e1b65f5499d6e4b647301fad28a4"/>
    <w:p>
      <w:pPr>
        <w:pStyle w:val="Heading4"/>
      </w:pPr>
      <w:r>
        <w:t xml:space="preserve">Acceptance of external authenticators (IA-8(2))</w:t>
      </w:r>
    </w:p>
    <w:p>
      <w:pPr>
        <w:pStyle w:val="Compact"/>
        <w:numPr>
          <w:ilvl w:val="0"/>
          <w:numId w:val="1187"/>
        </w:numPr>
      </w:pPr>
      <w:r>
        <w:t xml:space="preserve">The</w:t>
      </w:r>
      <w:r>
        <w:t xml:space="preserve"> </w:t>
      </w:r>
      <w:r>
        <w:rPr>
          <w:rStyle w:val="Fill-in"/>
        </w:rPr>
        <w:t xml:space="preserve">[System owner]</w:t>
      </w:r>
      <w:r>
        <w:t xml:space="preserve"> </w:t>
      </w:r>
      <w:r>
        <w:t xml:space="preserve">shall ensure the system accepts only external authenticators that are NIST-compliant, such as those meeting</w:t>
      </w:r>
      <w:r>
        <w:t xml:space="preserve"> </w:t>
      </w:r>
      <w:hyperlink r:id="rId237">
        <w:r>
          <w:rPr>
            <w:rStyle w:val="Hyperlink"/>
          </w:rPr>
          <w:t xml:space="preserve">NIST SP 800-63B-4</w:t>
        </w:r>
      </w:hyperlink>
      <w:r>
        <w:t xml:space="preserve"> </w:t>
      </w:r>
      <w:r>
        <w:t xml:space="preserve">(July 2025). (IA-8(2)(a))</w:t>
      </w:r>
    </w:p>
    <w:p>
      <w:pPr>
        <w:pStyle w:val="Compact"/>
        <w:numPr>
          <w:ilvl w:val="0"/>
          <w:numId w:val="1187"/>
        </w:numPr>
      </w:pPr>
      <w:r>
        <w:t xml:space="preserve">The</w:t>
      </w:r>
      <w:r>
        <w:t xml:space="preserve"> </w:t>
      </w:r>
      <w:r>
        <w:rPr>
          <w:rStyle w:val="Fill-in"/>
        </w:rPr>
        <w:t xml:space="preserve">[System owner]</w:t>
      </w:r>
      <w:r>
        <w:t xml:space="preserve"> </w:t>
      </w:r>
      <w:r>
        <w:t xml:space="preserve">shall document and maintain a list of accepted external authenticators. (IA-8(2)(b))</w:t>
      </w:r>
    </w:p>
    <w:bookmarkEnd w:id="246"/>
    <w:bookmarkStart w:id="247" w:name="use-of-defined-profiles-ia-84"/>
    <w:p>
      <w:pPr>
        <w:pStyle w:val="Heading4"/>
      </w:pPr>
      <w:r>
        <w:t xml:space="preserve">Use of defined profiles (IA-8(4))</w:t>
      </w:r>
    </w:p>
    <w:p>
      <w:pPr>
        <w:pStyle w:val="Compact"/>
        <w:numPr>
          <w:ilvl w:val="0"/>
          <w:numId w:val="1188"/>
        </w:numPr>
      </w:pPr>
      <w:r>
        <w:t xml:space="preserve">The</w:t>
      </w:r>
      <w:r>
        <w:t xml:space="preserve"> </w:t>
      </w:r>
      <w:r>
        <w:rPr>
          <w:rStyle w:val="Fill-in"/>
        </w:rPr>
        <w:t xml:space="preserve">[System owner]</w:t>
      </w:r>
      <w:r>
        <w:t xml:space="preserve"> </w:t>
      </w:r>
      <w:r>
        <w:t xml:space="preserve">shall ensure the system conforms to</w:t>
      </w:r>
      <w:r>
        <w:t xml:space="preserve"> </w:t>
      </w:r>
      <w:r>
        <w:rPr>
          <w:rStyle w:val="Fill-in"/>
        </w:rPr>
        <w:t xml:space="preserve">[Fill in: identity management profiles. Typical: the federation profiles the organization publishes for its identity provider, such as SAML 2.0 or OpenID Connect]</w:t>
      </w:r>
      <w:r>
        <w:t xml:space="preserve"> </w:t>
      </w:r>
      <w:r>
        <w:t xml:space="preserve">for identity management. (IA-8(4))</w:t>
      </w:r>
    </w:p>
    <w:bookmarkEnd w:id="247"/>
    <w:bookmarkStart w:id="248" w:name="re-authentication-ia-11"/>
    <w:p>
      <w:pPr>
        <w:pStyle w:val="Heading4"/>
      </w:pPr>
      <w:r>
        <w:t xml:space="preserve">Re-authentication (IA-11)</w:t>
      </w:r>
    </w:p>
    <w:p>
      <w:pPr>
        <w:pStyle w:val="Compact"/>
        <w:numPr>
          <w:ilvl w:val="0"/>
          <w:numId w:val="1189"/>
        </w:numPr>
      </w:pPr>
      <w:r>
        <w:t xml:space="preserve">The</w:t>
      </w:r>
      <w:r>
        <w:t xml:space="preserve"> </w:t>
      </w:r>
      <w:r>
        <w:rPr>
          <w:rStyle w:val="Fill-in"/>
        </w:rPr>
        <w:t xml:space="preserve">[System owner]</w:t>
      </w:r>
      <w:r>
        <w:t xml:space="preserve"> </w:t>
      </w:r>
      <w:r>
        <w:t xml:space="preserve">shall ensure the system requires users to re-authenticate when</w:t>
      </w:r>
      <w:r>
        <w:t xml:space="preserve"> </w:t>
      </w:r>
      <w:r>
        <w:rPr>
          <w:rStyle w:val="Fill-in"/>
        </w:rPr>
        <w:t xml:space="preserve">[Fill in: circumstances or situations requiring re-authentication. Typical: a session timeout, a change of role or privilege, a privileged action, or a change of authenticators]</w:t>
      </w:r>
      <w:r>
        <w:t xml:space="preserve">. (IA-11)</w:t>
      </w:r>
    </w:p>
    <w:bookmarkEnd w:id="248"/>
    <w:bookmarkStart w:id="249" w:name="identity-proofing-ia-12"/>
    <w:p>
      <w:pPr>
        <w:pStyle w:val="Heading4"/>
      </w:pPr>
      <w:r>
        <w:t xml:space="preserve">Identity proofing (IA-12)</w:t>
      </w:r>
    </w:p>
    <w:p>
      <w:pPr>
        <w:pStyle w:val="Compact"/>
        <w:numPr>
          <w:ilvl w:val="0"/>
          <w:numId w:val="1190"/>
        </w:numPr>
      </w:pPr>
      <w:r>
        <w:t xml:space="preserve">The</w:t>
      </w:r>
      <w:r>
        <w:t xml:space="preserve"> </w:t>
      </w:r>
      <w:r>
        <w:rPr>
          <w:rStyle w:val="Fill-in"/>
        </w:rPr>
        <w:t xml:space="preserve">[Account manager]</w:t>
      </w:r>
      <w:r>
        <w:t xml:space="preserve"> </w:t>
      </w:r>
      <w:r>
        <w:t xml:space="preserve">shall identity proof users who require accounts for logical access, at the identity assurance level the applicable standards require, such as the NIST SP 800-63-4 digital identity guidelines. (IA-12a)</w:t>
      </w:r>
    </w:p>
    <w:p>
      <w:pPr>
        <w:pStyle w:val="Compact"/>
        <w:numPr>
          <w:ilvl w:val="0"/>
          <w:numId w:val="1190"/>
        </w:numPr>
      </w:pPr>
      <w:r>
        <w:t xml:space="preserve">The</w:t>
      </w:r>
      <w:r>
        <w:t xml:space="preserve"> </w:t>
      </w:r>
      <w:r>
        <w:rPr>
          <w:rStyle w:val="Fill-in"/>
        </w:rPr>
        <w:t xml:space="preserve">[Account manager]</w:t>
      </w:r>
      <w:r>
        <w:t xml:space="preserve"> </w:t>
      </w:r>
      <w:r>
        <w:t xml:space="preserve">shall resolve each user identity to a unique individual. (IA-12b)</w:t>
      </w:r>
    </w:p>
    <w:p>
      <w:pPr>
        <w:pStyle w:val="Compact"/>
        <w:numPr>
          <w:ilvl w:val="0"/>
          <w:numId w:val="1190"/>
        </w:numPr>
      </w:pPr>
      <w:r>
        <w:t xml:space="preserve">The</w:t>
      </w:r>
      <w:r>
        <w:t xml:space="preserve"> </w:t>
      </w:r>
      <w:r>
        <w:rPr>
          <w:rStyle w:val="Fill-in"/>
        </w:rPr>
        <w:t xml:space="preserve">[Account manager]</w:t>
      </w:r>
      <w:r>
        <w:t xml:space="preserve"> </w:t>
      </w:r>
      <w:r>
        <w:t xml:space="preserve">shall collect, validate and verify identity evidence. (IA-12c)</w:t>
      </w:r>
    </w:p>
    <w:bookmarkEnd w:id="249"/>
    <w:bookmarkStart w:id="250" w:name="identity-evidence-ia-122"/>
    <w:p>
      <w:pPr>
        <w:pStyle w:val="Heading4"/>
      </w:pPr>
      <w:r>
        <w:t xml:space="preserve">Identity evidence (IA-12(2))</w:t>
      </w:r>
    </w:p>
    <w:p>
      <w:pPr>
        <w:pStyle w:val="Compact"/>
        <w:numPr>
          <w:ilvl w:val="0"/>
          <w:numId w:val="1191"/>
        </w:numPr>
      </w:pPr>
      <w:r>
        <w:t xml:space="preserve">The</w:t>
      </w:r>
      <w:r>
        <w:t xml:space="preserve"> </w:t>
      </w:r>
      <w:r>
        <w:rPr>
          <w:rStyle w:val="Fill-in"/>
        </w:rPr>
        <w:t xml:space="preserve">[Account manager]</w:t>
      </w:r>
      <w:r>
        <w:t xml:space="preserve"> </w:t>
      </w:r>
      <w:r>
        <w:t xml:space="preserve">shall require evidence of individual identification to be presented to the registration authority. (IA-12(2))</w:t>
      </w:r>
    </w:p>
    <w:bookmarkEnd w:id="250"/>
    <w:bookmarkStart w:id="251" w:name="Xdc88bc576340bc5619ea1313324889fc30d5741"/>
    <w:p>
      <w:pPr>
        <w:pStyle w:val="Heading4"/>
      </w:pPr>
      <w:r>
        <w:t xml:space="preserve">Identity evidence validation and verification (IA-12(3))</w:t>
      </w:r>
    </w:p>
    <w:p>
      <w:pPr>
        <w:pStyle w:val="Compact"/>
        <w:numPr>
          <w:ilvl w:val="0"/>
          <w:numId w:val="1192"/>
        </w:numPr>
      </w:pPr>
      <w:r>
        <w:t xml:space="preserve">The</w:t>
      </w:r>
      <w:r>
        <w:t xml:space="preserve"> </w:t>
      </w:r>
      <w:r>
        <w:rPr>
          <w:rStyle w:val="Fill-in"/>
        </w:rPr>
        <w:t xml:space="preserve">[Account manager]</w:t>
      </w:r>
      <w:r>
        <w:t xml:space="preserve"> </w:t>
      </w:r>
      <w:r>
        <w:t xml:space="preserve">shall require presented identity evidence to be validated and verified through</w:t>
      </w:r>
      <w:r>
        <w:t xml:space="preserve"> </w:t>
      </w:r>
      <w:r>
        <w:rPr>
          <w:rStyle w:val="Fill-in"/>
        </w:rPr>
        <w:t xml:space="preserve">[Fill in: methods of validation and verification of identity evidence. Typical: checking the evidence against its issuing or an authoritative source, and confirming the applicant is the person it describes]</w:t>
      </w:r>
      <w:r>
        <w:t xml:space="preserve">. (IA-12(3))</w:t>
      </w:r>
    </w:p>
    <w:bookmarkEnd w:id="251"/>
    <w:bookmarkStart w:id="252" w:name="Xfef85e52a29f987d93be967fb50340d8d106248"/>
    <w:p>
      <w:pPr>
        <w:pStyle w:val="Heading4"/>
      </w:pPr>
      <w:r>
        <w:t xml:space="preserve">In-person validation and verification (IA-12(4))</w:t>
      </w:r>
    </w:p>
    <w:p>
      <w:pPr>
        <w:pStyle w:val="Compact"/>
        <w:numPr>
          <w:ilvl w:val="0"/>
          <w:numId w:val="1193"/>
        </w:numPr>
      </w:pPr>
      <w:r>
        <w:t xml:space="preserve">The</w:t>
      </w:r>
      <w:r>
        <w:t xml:space="preserve"> </w:t>
      </w:r>
      <w:r>
        <w:rPr>
          <w:rStyle w:val="Fill-in"/>
        </w:rPr>
        <w:t xml:space="preserve">[Account manager]</w:t>
      </w:r>
      <w:r>
        <w:t xml:space="preserve"> </w:t>
      </w:r>
      <w:r>
        <w:t xml:space="preserve">shall require validation and verification of identity evidence to be conducted in person before a designated registration authority. (IA-12(4))</w:t>
      </w:r>
    </w:p>
    <w:bookmarkEnd w:id="252"/>
    <w:bookmarkStart w:id="253" w:name="address-confirmation-ia-125"/>
    <w:p>
      <w:pPr>
        <w:pStyle w:val="Heading4"/>
      </w:pPr>
      <w:r>
        <w:t xml:space="preserve">Address confirmation (IA-12(5))</w:t>
      </w:r>
    </w:p>
    <w:p>
      <w:pPr>
        <w:pStyle w:val="Compact"/>
        <w:numPr>
          <w:ilvl w:val="0"/>
          <w:numId w:val="1194"/>
        </w:numPr>
      </w:pPr>
      <w:r>
        <w:t xml:space="preserve">The</w:t>
      </w:r>
      <w:r>
        <w:t xml:space="preserve"> </w:t>
      </w:r>
      <w:r>
        <w:rPr>
          <w:rStyle w:val="Fill-in"/>
        </w:rPr>
        <w:t xml:space="preserve">[Account manager]</w:t>
      </w:r>
      <w:r>
        <w:t xml:space="preserve"> </w:t>
      </w:r>
      <w:r>
        <w:t xml:space="preserve">shall require a</w:t>
      </w:r>
      <w:r>
        <w:t xml:space="preserve"> </w:t>
      </w:r>
      <w:r>
        <w:rPr>
          <w:rStyle w:val="Fill-in"/>
        </w:rPr>
        <w:t xml:space="preserve">[Select one: registration code; notice of proofing. Typical: registration code]</w:t>
      </w:r>
      <w:r>
        <w:t xml:space="preserve"> </w:t>
      </w:r>
      <w:r>
        <w:t xml:space="preserve">to be delivered through an out-of-band channel to verify the user’s address of record, physical or digital. (IA-12(5))</w:t>
      </w:r>
    </w:p>
    <w:bookmarkEnd w:id="253"/>
    <w:bookmarkEnd w:id="254"/>
    <w:bookmarkStart w:id="275" w:name="incident-response-ir"/>
    <w:p>
      <w:pPr>
        <w:pStyle w:val="Heading3"/>
      </w:pPr>
      <w:r>
        <w:t xml:space="preserve">Incident Response (IR)</w:t>
      </w:r>
    </w:p>
    <w:bookmarkStart w:id="255" w:name="incident-response-training-ir-2"/>
    <w:p>
      <w:pPr>
        <w:pStyle w:val="Heading4"/>
      </w:pPr>
      <w:r>
        <w:t xml:space="preserve">Incident response training (IR-2)</w:t>
      </w:r>
    </w:p>
    <w:p>
      <w:pPr>
        <w:pStyle w:val="Compact"/>
        <w:numPr>
          <w:ilvl w:val="0"/>
          <w:numId w:val="1195"/>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195"/>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195"/>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195"/>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255"/>
    <w:bookmarkStart w:id="256" w:name="simulated-events-ir-21"/>
    <w:p>
      <w:pPr>
        <w:pStyle w:val="Heading4"/>
      </w:pPr>
      <w:r>
        <w:t xml:space="preserve">Simulated events (IR-2(1))</w:t>
      </w:r>
    </w:p>
    <w:p>
      <w:pPr>
        <w:pStyle w:val="Compact"/>
        <w:numPr>
          <w:ilvl w:val="0"/>
          <w:numId w:val="1196"/>
        </w:numPr>
      </w:pPr>
      <w:r>
        <w:t xml:space="preserve">The</w:t>
      </w:r>
      <w:r>
        <w:t xml:space="preserve"> </w:t>
      </w:r>
      <w:r>
        <w:rPr>
          <w:rStyle w:val="Fill-in"/>
        </w:rPr>
        <w:t xml:space="preserve">[Incident response team]</w:t>
      </w:r>
      <w:r>
        <w:t xml:space="preserve"> </w:t>
      </w:r>
      <w:r>
        <w:t xml:space="preserve">shall incorporate simulated events into incident response training so personnel practice the required response to crisis situations. (IR-2(1))</w:t>
      </w:r>
    </w:p>
    <w:bookmarkEnd w:id="256"/>
    <w:bookmarkStart w:id="257" w:name="automated-training-environments-ir-22"/>
    <w:p>
      <w:pPr>
        <w:pStyle w:val="Heading4"/>
      </w:pPr>
      <w:r>
        <w:t xml:space="preserve">Automated training environments (IR-2(2))</w:t>
      </w:r>
    </w:p>
    <w:p>
      <w:pPr>
        <w:pStyle w:val="Compact"/>
        <w:numPr>
          <w:ilvl w:val="0"/>
          <w:numId w:val="1197"/>
        </w:numPr>
      </w:pPr>
      <w:r>
        <w:t xml:space="preserve">The</w:t>
      </w:r>
      <w:r>
        <w:t xml:space="preserve"> </w:t>
      </w:r>
      <w:r>
        <w:rPr>
          <w:rStyle w:val="Fill-in"/>
        </w:rPr>
        <w:t xml:space="preserve">[Incident response team]</w:t>
      </w:r>
      <w:r>
        <w:t xml:space="preserve"> </w:t>
      </w:r>
      <w:r>
        <w:t xml:space="preserve">shall provide an incident response training environment using</w:t>
      </w:r>
      <w:r>
        <w:t xml:space="preserve"> </w:t>
      </w:r>
      <w:r>
        <w:rPr>
          <w:rStyle w:val="Fill-in"/>
        </w:rPr>
        <w:t xml:space="preserve">[Fill in: automated mechanisms used in an incident response training environment. Typical: a cyber range or isolated lab that replays realistic attack activity]</w:t>
      </w:r>
      <w:r>
        <w:t xml:space="preserve">. (IR-2(2))</w:t>
      </w:r>
    </w:p>
    <w:bookmarkEnd w:id="257"/>
    <w:bookmarkStart w:id="258" w:name="incident-response-testing-ir-3"/>
    <w:p>
      <w:pPr>
        <w:pStyle w:val="Heading4"/>
      </w:pPr>
      <w:r>
        <w:t xml:space="preserve">Incident response testing (IR-3)</w:t>
      </w:r>
    </w:p>
    <w:p>
      <w:pPr>
        <w:pStyle w:val="Compact"/>
        <w:numPr>
          <w:ilvl w:val="0"/>
          <w:numId w:val="1198"/>
        </w:numPr>
      </w:pPr>
      <w:r>
        <w:t xml:space="preserve">The</w:t>
      </w:r>
      <w:r>
        <w:t xml:space="preserve"> </w:t>
      </w:r>
      <w:r>
        <w:rPr>
          <w:rStyle w:val="Fill-in"/>
        </w:rPr>
        <w:t xml:space="preserve">[Incident response team]</w:t>
      </w:r>
      <w:r>
        <w:t xml:space="preserve"> </w:t>
      </w:r>
      <w:r>
        <w:t xml:space="preserve">shall test the effectiveness of the incident response capability for the system</w:t>
      </w:r>
      <w:r>
        <w:t xml:space="preserve"> </w:t>
      </w:r>
      <w:r>
        <w:rPr>
          <w:rStyle w:val="Fill-in"/>
        </w:rPr>
        <w:t xml:space="preserve">[Fill in: frequency at which to test the effectiveness of the incident response capability for the system. Typical: annually]</w:t>
      </w:r>
      <w:r>
        <w:t xml:space="preserve"> </w:t>
      </w:r>
      <w:r>
        <w:t xml:space="preserve">using</w:t>
      </w:r>
      <w:r>
        <w:t xml:space="preserve"> </w:t>
      </w:r>
      <w:r>
        <w:rPr>
          <w:rStyle w:val="Fill-in"/>
        </w:rPr>
        <w:t xml:space="preserve">[Fill in: tests used to test the effectiveness of the incident response capability for the system. Typical: a tabletop exercise based on a realistic scenario, and a functional test of notification and escalation]</w:t>
      </w:r>
      <w:r>
        <w:t xml:space="preserve">. (IR-3)</w:t>
      </w:r>
    </w:p>
    <w:bookmarkEnd w:id="258"/>
    <w:bookmarkStart w:id="259" w:name="coordination-with-related-plans-ir-32"/>
    <w:p>
      <w:pPr>
        <w:pStyle w:val="Heading4"/>
      </w:pPr>
      <w:r>
        <w:t xml:space="preserve">Coordination with related plans (IR-3(2))</w:t>
      </w:r>
    </w:p>
    <w:p>
      <w:pPr>
        <w:pStyle w:val="Compact"/>
        <w:numPr>
          <w:ilvl w:val="0"/>
          <w:numId w:val="1199"/>
        </w:numPr>
      </w:pPr>
      <w:r>
        <w:t xml:space="preserve">The</w:t>
      </w:r>
      <w:r>
        <w:t xml:space="preserve"> </w:t>
      </w:r>
      <w:r>
        <w:rPr>
          <w:rStyle w:val="Fill-in"/>
        </w:rPr>
        <w:t xml:space="preserve">[Incident response team]</w:t>
      </w:r>
      <w:r>
        <w:t xml:space="preserve"> </w:t>
      </w:r>
      <w:r>
        <w:t xml:space="preserve">shall coordinate incident response testing with the organizational elements responsible for related plans, such as contingency, continuity and crisis communications plans. (IR-3(2))</w:t>
      </w:r>
    </w:p>
    <w:bookmarkEnd w:id="259"/>
    <w:bookmarkStart w:id="261" w:name="incident-handling-ir-4"/>
    <w:p>
      <w:pPr>
        <w:pStyle w:val="Heading4"/>
      </w:pPr>
      <w:r>
        <w:t xml:space="preserve">Incident handling (IR-4)</w:t>
      </w:r>
    </w:p>
    <w:p>
      <w:pPr>
        <w:pStyle w:val="Guidance"/>
      </w:pPr>
      <w:r>
        <w:t xml:space="preserve">IR-4a names the phases of the incident handling life cycle from NIST SP 800-61 Rev. 2. Its successor,</w:t>
      </w:r>
      <w:r>
        <w:t xml:space="preserve"> </w:t>
      </w:r>
      <w:hyperlink r:id="rId260">
        <w:r>
          <w:rPr>
            <w:rStyle w:val="Hyperlink"/>
          </w:rPr>
          <w:t xml:space="preserve">SP 800-61 Rev. 3</w:t>
        </w:r>
      </w:hyperlink>
      <w:r>
        <w:t xml:space="preserve"> </w:t>
      </w:r>
      <w:r>
        <w:t xml:space="preserve">(April 2025), organizes incident response around the CSF 2.0 Functions instead; the Incident Response Plan template follows Rev. 3 and still covers every IR-4a phase. Assessors ask for records of recent incidents that show each phase, and for evidence that a lesson learned changed a procedure.</w:t>
      </w:r>
    </w:p>
    <w:p>
      <w:pPr>
        <w:pStyle w:val="Compact"/>
        <w:numPr>
          <w:ilvl w:val="0"/>
          <w:numId w:val="1200"/>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200"/>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200"/>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200"/>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261"/>
    <w:bookmarkStart w:id="262" w:name="X4bc837c11c3beea19d377af594e0eff32dfdc04"/>
    <w:p>
      <w:pPr>
        <w:pStyle w:val="Heading4"/>
      </w:pPr>
      <w:r>
        <w:t xml:space="preserve">Automated incident handling processes (IR-4(1))</w:t>
      </w:r>
    </w:p>
    <w:p>
      <w:pPr>
        <w:pStyle w:val="Compact"/>
        <w:numPr>
          <w:ilvl w:val="0"/>
          <w:numId w:val="1201"/>
        </w:numPr>
      </w:pPr>
      <w:r>
        <w:t xml:space="preserve">The</w:t>
      </w:r>
      <w:r>
        <w:t xml:space="preserve"> </w:t>
      </w:r>
      <w:r>
        <w:rPr>
          <w:rStyle w:val="Fill-in"/>
        </w:rPr>
        <w:t xml:space="preserve">[Incident response team]</w:t>
      </w:r>
      <w:r>
        <w:t xml:space="preserve"> </w:t>
      </w:r>
      <w:r>
        <w:t xml:space="preserve">shall support the incident handling process using</w:t>
      </w:r>
      <w:r>
        <w:t xml:space="preserve"> </w:t>
      </w:r>
      <w:r>
        <w:rPr>
          <w:rStyle w:val="Fill-in"/>
        </w:rPr>
        <w:t xml:space="preserve">[Fill in: automated mechanisms used to support the incident handling process. Typical: the case management system and automated playbooks in the security operations platform]</w:t>
      </w:r>
      <w:r>
        <w:t xml:space="preserve">. (IR-4(1))</w:t>
      </w:r>
    </w:p>
    <w:bookmarkEnd w:id="262"/>
    <w:bookmarkStart w:id="263" w:name="information-correlation-ir-44"/>
    <w:p>
      <w:pPr>
        <w:pStyle w:val="Heading4"/>
      </w:pPr>
      <w:r>
        <w:t xml:space="preserve">Information correlation (IR-4(4))</w:t>
      </w:r>
    </w:p>
    <w:p>
      <w:pPr>
        <w:pStyle w:val="Compact"/>
        <w:numPr>
          <w:ilvl w:val="0"/>
          <w:numId w:val="1202"/>
        </w:numPr>
      </w:pPr>
      <w:r>
        <w:t xml:space="preserve">The</w:t>
      </w:r>
      <w:r>
        <w:t xml:space="preserve"> </w:t>
      </w:r>
      <w:r>
        <w:rPr>
          <w:rStyle w:val="Fill-in"/>
        </w:rPr>
        <w:t xml:space="preserve">[Incident response team]</w:t>
      </w:r>
      <w:r>
        <w:t xml:space="preserve"> </w:t>
      </w:r>
      <w:r>
        <w:t xml:space="preserve">shall correlate incident information and individual incident responses to achieve an organization-wide perspective on incident awareness and response. (IR-4(4))</w:t>
      </w:r>
    </w:p>
    <w:bookmarkEnd w:id="263"/>
    <w:bookmarkStart w:id="264" w:name="integrated-incident-response-team-ir-411"/>
    <w:p>
      <w:pPr>
        <w:pStyle w:val="Heading4"/>
      </w:pPr>
      <w:r>
        <w:t xml:space="preserve">Integrated incident response team (IR-4(11))</w:t>
      </w:r>
    </w:p>
    <w:p>
      <w:pPr>
        <w:pStyle w:val="Compact"/>
        <w:numPr>
          <w:ilvl w:val="0"/>
          <w:numId w:val="1203"/>
        </w:numPr>
      </w:pPr>
      <w:r>
        <w:t xml:space="preserve">The</w:t>
      </w:r>
      <w:r>
        <w:t xml:space="preserve"> </w:t>
      </w:r>
      <w:r>
        <w:rPr>
          <w:rStyle w:val="Fill-in"/>
        </w:rPr>
        <w:t xml:space="preserve">[Chief Information Security Officer]</w:t>
      </w:r>
      <w:r>
        <w:t xml:space="preserve"> </w:t>
      </w:r>
      <w:r>
        <w:t xml:space="preserve">shall establish and maintain an integrated incident response team that can be deployed to any location the organization identifies within</w:t>
      </w:r>
      <w:r>
        <w:t xml:space="preserve"> </w:t>
      </w:r>
      <w:r>
        <w:rPr>
          <w:rStyle w:val="Fill-in"/>
        </w:rPr>
        <w:t xml:space="preserve">[Fill in: the time period within which an integrated incident response team can be deployed. Typical: 24 hours]</w:t>
      </w:r>
      <w:r>
        <w:t xml:space="preserve">. (IR-4(11))</w:t>
      </w:r>
    </w:p>
    <w:bookmarkEnd w:id="264"/>
    <w:bookmarkStart w:id="265" w:name="incident-monitoring-ir-5"/>
    <w:p>
      <w:pPr>
        <w:pStyle w:val="Heading4"/>
      </w:pPr>
      <w:r>
        <w:t xml:space="preserve">Incident monitoring (IR-5)</w:t>
      </w:r>
    </w:p>
    <w:p>
      <w:pPr>
        <w:pStyle w:val="Compact"/>
        <w:numPr>
          <w:ilvl w:val="0"/>
          <w:numId w:val="1204"/>
        </w:numPr>
      </w:pPr>
      <w:r>
        <w:t xml:space="preserve">The</w:t>
      </w:r>
      <w:r>
        <w:t xml:space="preserve"> </w:t>
      </w:r>
      <w:r>
        <w:rPr>
          <w:rStyle w:val="Fill-in"/>
        </w:rPr>
        <w:t xml:space="preserve">[Incident response team]</w:t>
      </w:r>
      <w:r>
        <w:t xml:space="preserve"> </w:t>
      </w:r>
      <w:r>
        <w:t xml:space="preserve">shall track and document incidents. (IR-5)</w:t>
      </w:r>
    </w:p>
    <w:bookmarkEnd w:id="265"/>
    <w:bookmarkStart w:id="266" w:name="Xee4a0c18e25c51510d14e81fd3d463b890319f6"/>
    <w:p>
      <w:pPr>
        <w:pStyle w:val="Heading4"/>
      </w:pPr>
      <w:r>
        <w:t xml:space="preserve">Automated tracking, data collection and analysis (IR-5(1))</w:t>
      </w:r>
    </w:p>
    <w:p>
      <w:pPr>
        <w:pStyle w:val="Compact"/>
        <w:numPr>
          <w:ilvl w:val="0"/>
          <w:numId w:val="1205"/>
        </w:numPr>
      </w:pPr>
      <w:r>
        <w:t xml:space="preserve">The</w:t>
      </w:r>
      <w:r>
        <w:t xml:space="preserve"> </w:t>
      </w:r>
      <w:r>
        <w:rPr>
          <w:rStyle w:val="Fill-in"/>
        </w:rPr>
        <w:t xml:space="preserve">[Incident response team]</w:t>
      </w:r>
      <w:r>
        <w:t xml:space="preserve"> </w:t>
      </w:r>
      <w:r>
        <w:t xml:space="preserve">shall track incidents and collect and analyze incident information using</w:t>
      </w:r>
      <w:r>
        <w:t xml:space="preserve"> </w:t>
      </w:r>
      <w:r>
        <w:rPr>
          <w:rStyle w:val="Fill-in"/>
        </w:rPr>
        <w:t xml:space="preserve">[Fill in: automated mechanisms. Typical: the incident case management system integrated with the security operations platform]</w:t>
      </w:r>
      <w:r>
        <w:t xml:space="preserve">. (IR-5(1))</w:t>
      </w:r>
    </w:p>
    <w:bookmarkEnd w:id="266"/>
    <w:bookmarkStart w:id="269" w:name="incident-reporting-ir-6"/>
    <w:p>
      <w:pPr>
        <w:pStyle w:val="Heading4"/>
      </w:pPr>
      <w:r>
        <w:t xml:space="preserve">Incident reporting (IR-6)</w:t>
      </w:r>
    </w:p>
    <w:p>
      <w:pPr>
        <w:pStyle w:val="Compact"/>
        <w:numPr>
          <w:ilvl w:val="0"/>
          <w:numId w:val="1206"/>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206"/>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268" w:name="federal-systems-13"/>
    <w:p>
      <w:pPr>
        <w:pStyle w:val="Heading5"/>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267">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207"/>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268"/>
    <w:bookmarkEnd w:id="269"/>
    <w:bookmarkStart w:id="270" w:name="automated-reporting-ir-61"/>
    <w:p>
      <w:pPr>
        <w:pStyle w:val="Heading4"/>
      </w:pPr>
      <w:r>
        <w:t xml:space="preserve">Automated reporting (IR-6(1))</w:t>
      </w:r>
    </w:p>
    <w:p>
      <w:pPr>
        <w:pStyle w:val="Compact"/>
        <w:numPr>
          <w:ilvl w:val="0"/>
          <w:numId w:val="1208"/>
        </w:numPr>
      </w:pPr>
      <w:r>
        <w:t xml:space="preserve">The</w:t>
      </w:r>
      <w:r>
        <w:t xml:space="preserve"> </w:t>
      </w:r>
      <w:r>
        <w:rPr>
          <w:rStyle w:val="Fill-in"/>
        </w:rPr>
        <w:t xml:space="preserve">[Incident response team]</w:t>
      </w:r>
      <w:r>
        <w:t xml:space="preserve"> </w:t>
      </w:r>
      <w:r>
        <w:t xml:space="preserve">shall report incidents using</w:t>
      </w:r>
      <w:r>
        <w:t xml:space="preserve"> </w:t>
      </w:r>
      <w:r>
        <w:rPr>
          <w:rStyle w:val="Fill-in"/>
        </w:rPr>
        <w:t xml:space="preserve">[Fill in: automated mechanisms used for reporting incidents. Typical: the incident report form and case management system, which notify the incident response team automatically]</w:t>
      </w:r>
      <w:r>
        <w:t xml:space="preserve">. (IR-6(1))</w:t>
      </w:r>
    </w:p>
    <w:bookmarkEnd w:id="270"/>
    <w:bookmarkStart w:id="271" w:name="supply-chain-coordination-ir-63"/>
    <w:p>
      <w:pPr>
        <w:pStyle w:val="Heading4"/>
      </w:pPr>
      <w:r>
        <w:t xml:space="preserve">Supply chain coordination (IR-6(3))</w:t>
      </w:r>
    </w:p>
    <w:p>
      <w:pPr>
        <w:pStyle w:val="Compact"/>
        <w:numPr>
          <w:ilvl w:val="0"/>
          <w:numId w:val="1209"/>
        </w:numPr>
      </w:pPr>
      <w:r>
        <w:t xml:space="preserve">The</w:t>
      </w:r>
      <w:r>
        <w:t xml:space="preserve"> </w:t>
      </w:r>
      <w:r>
        <w:rPr>
          <w:rStyle w:val="Fill-in"/>
        </w:rPr>
        <w:t xml:space="preserve">[Incident response team]</w:t>
      </w:r>
      <w:r>
        <w:t xml:space="preserve"> </w:t>
      </w:r>
      <w:r>
        <w:t xml:space="preserve">shall provide incident information to the provider of the product or service, and to other organizations in the supply chain, for system components related to an incident. (IR-6(3))</w:t>
      </w:r>
    </w:p>
    <w:bookmarkEnd w:id="271"/>
    <w:bookmarkStart w:id="272" w:name="incident-response-assistance-ir-7"/>
    <w:p>
      <w:pPr>
        <w:pStyle w:val="Heading4"/>
      </w:pPr>
      <w:r>
        <w:t xml:space="preserve">Incident response assistance (IR-7)</w:t>
      </w:r>
    </w:p>
    <w:p>
      <w:pPr>
        <w:pStyle w:val="Compact"/>
        <w:numPr>
          <w:ilvl w:val="0"/>
          <w:numId w:val="1210"/>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272"/>
    <w:bookmarkStart w:id="273" w:name="Xa913bb2be269541b9eb3c4a7b9af9de430ca359"/>
    <w:p>
      <w:pPr>
        <w:pStyle w:val="Heading4"/>
      </w:pPr>
      <w:r>
        <w:t xml:space="preserve">Automation support for availability of information and support (IR-7(1))</w:t>
      </w:r>
    </w:p>
    <w:p>
      <w:pPr>
        <w:pStyle w:val="Compact"/>
        <w:numPr>
          <w:ilvl w:val="0"/>
          <w:numId w:val="1211"/>
        </w:numPr>
      </w:pPr>
      <w:r>
        <w:t xml:space="preserve">The</w:t>
      </w:r>
      <w:r>
        <w:t xml:space="preserve"> </w:t>
      </w:r>
      <w:r>
        <w:rPr>
          <w:rStyle w:val="Fill-in"/>
        </w:rPr>
        <w:t xml:space="preserve">[Incident response team]</w:t>
      </w:r>
      <w:r>
        <w:t xml:space="preserve"> </w:t>
      </w:r>
      <w:r>
        <w:t xml:space="preserve">shall increase the availability of incident response information and support using</w:t>
      </w:r>
      <w:r>
        <w:t xml:space="preserve"> </w:t>
      </w:r>
      <w:r>
        <w:rPr>
          <w:rStyle w:val="Fill-in"/>
        </w:rPr>
        <w:t xml:space="preserve">[Fill in: automated mechanisms used to increase the availability of incident response information and support. Typical: a self-service reporting portal and an incident response page on the intranet]</w:t>
      </w:r>
      <w:r>
        <w:t xml:space="preserve">. (IR-7(1))</w:t>
      </w:r>
    </w:p>
    <w:bookmarkEnd w:id="273"/>
    <w:bookmarkStart w:id="274" w:name="incident-response-plan-ir-8"/>
    <w:p>
      <w:pPr>
        <w:pStyle w:val="Heading4"/>
      </w:pPr>
      <w:r>
        <w:t xml:space="preserve">Incident response plan (IR-8)</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212"/>
        </w:numPr>
      </w:pPr>
      <w:r>
        <w:t xml:space="preserve">The plan shall describe the structure and organization of the incident response capability. (IR-8a.2)</w:t>
      </w:r>
    </w:p>
    <w:p>
      <w:pPr>
        <w:pStyle w:val="Compact"/>
        <w:numPr>
          <w:ilvl w:val="0"/>
          <w:numId w:val="1212"/>
        </w:numPr>
      </w:pPr>
      <w:r>
        <w:t xml:space="preserve">The plan shall describe at a high level how the incident response capability fits into the overall organization. (IR-8a.3)</w:t>
      </w:r>
    </w:p>
    <w:p>
      <w:pPr>
        <w:pStyle w:val="Compact"/>
        <w:numPr>
          <w:ilvl w:val="0"/>
          <w:numId w:val="1212"/>
        </w:numPr>
      </w:pPr>
      <w:r>
        <w:t xml:space="preserve">The plan shall meet the organization’s unique requirements related to its mission, size, structure and functions. (IR-8a.4)</w:t>
      </w:r>
    </w:p>
    <w:p>
      <w:pPr>
        <w:pStyle w:val="Compact"/>
        <w:numPr>
          <w:ilvl w:val="0"/>
          <w:numId w:val="1212"/>
        </w:numPr>
      </w:pPr>
      <w:r>
        <w:t xml:space="preserve">The plan shall define reportable incidents. (IR-8a.5)</w:t>
      </w:r>
    </w:p>
    <w:p>
      <w:pPr>
        <w:pStyle w:val="Compact"/>
        <w:numPr>
          <w:ilvl w:val="0"/>
          <w:numId w:val="1212"/>
        </w:numPr>
      </w:pPr>
      <w:r>
        <w:t xml:space="preserve">The plan shall provide metrics for measuring the incident response capability. (IR-8a.6)</w:t>
      </w:r>
    </w:p>
    <w:p>
      <w:pPr>
        <w:pStyle w:val="Compact"/>
        <w:numPr>
          <w:ilvl w:val="0"/>
          <w:numId w:val="1212"/>
        </w:numPr>
      </w:pPr>
      <w:r>
        <w:t xml:space="preserve">The plan shall define the resources and management support needed to maintain and mature the incident response capability. (IR-8a.7)</w:t>
      </w:r>
    </w:p>
    <w:p>
      <w:pPr>
        <w:pStyle w:val="Compact"/>
        <w:numPr>
          <w:ilvl w:val="0"/>
          <w:numId w:val="1212"/>
        </w:numPr>
      </w:pPr>
      <w:r>
        <w:t xml:space="preserve">The plan shall address the sharing of incident information. (IR-8a.8)</w:t>
      </w:r>
    </w:p>
    <w:p>
      <w:pPr>
        <w:pStyle w:val="Compact"/>
        <w:numPr>
          <w:ilvl w:val="0"/>
          <w:numId w:val="1212"/>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212"/>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274"/>
    <w:bookmarkEnd w:id="275"/>
    <w:bookmarkStart w:id="301" w:name="maintenance-ma"/>
    <w:p>
      <w:pPr>
        <w:pStyle w:val="Heading3"/>
      </w:pPr>
      <w:r>
        <w:t xml:space="preserve">Maintenance (MA)</w:t>
      </w:r>
    </w:p>
    <w:bookmarkStart w:id="279" w:name="controlled-maintenance-ma-2"/>
    <w:p>
      <w:pPr>
        <w:pStyle w:val="Heading4"/>
      </w:pPr>
      <w:r>
        <w:t xml:space="preserve">Controlled maintenance (MA-2)</w:t>
      </w:r>
    </w:p>
    <w:p>
      <w:pPr>
        <w:pStyle w:val="Guidance"/>
      </w:pPr>
      <w:r>
        <w:t xml:space="preserve">MA-2 covers every kind of maintenance, repair and replacement, on site or remote, including printers, scanners and copiers, which NIST’s MA-2 discussion names. The information recorded for each activity is the list NIST’s discussion gives, plus the approval and the control check that MA-2b and MA-2e ask for. The</w:t>
      </w:r>
      <w:r>
        <w:t xml:space="preserve"> </w:t>
      </w:r>
      <w:hyperlink r:id="rId276">
        <w:r>
          <w:rPr>
            <w:rStyle w:val="Hyperlink"/>
          </w:rPr>
          <w:t xml:space="preserve">maintenance log</w:t>
        </w:r>
      </w:hyperlink>
      <w:r>
        <w:t xml:space="preserve"> </w:t>
      </w:r>
      <w:r>
        <w:t xml:space="preserve">holds these records. Sanitize media before they leave for repair as the media sanitization procedure sets out (MP-6), following NIST SP 800-88 Rev. 2,</w:t>
      </w:r>
      <w:r>
        <w:t xml:space="preserve"> </w:t>
      </w:r>
      <w:hyperlink r:id="rId277">
        <w:r>
          <w:rPr>
            <w:rStyle w:val="Hyperlink"/>
          </w:rPr>
          <w:t xml:space="preserve">Guidelines for Media Sanitization</w:t>
        </w:r>
      </w:hyperlink>
      <w:r>
        <w:t xml:space="preserve"> </w:t>
      </w:r>
      <w:r>
        <w:t xml:space="preserve">(September 2025, final; as of September 2026), and record it in the</w:t>
      </w:r>
      <w:r>
        <w:t xml:space="preserve"> </w:t>
      </w:r>
      <w:hyperlink r:id="rId278">
        <w:r>
          <w:rPr>
            <w:rStyle w:val="Hyperlink"/>
          </w:rPr>
          <w:t xml:space="preserve">media sanitization record</w:t>
        </w:r>
      </w:hyperlink>
      <w:r>
        <w:t xml:space="preserve">. Assessors sample maintenance records against the schedule and ask for the removal approvals and sanitization records.</w:t>
      </w:r>
    </w:p>
    <w:p>
      <w:pPr>
        <w:pStyle w:val="Compact"/>
        <w:numPr>
          <w:ilvl w:val="0"/>
          <w:numId w:val="1213"/>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213"/>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213"/>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213"/>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213"/>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213"/>
        </w:numPr>
      </w:pPr>
      <w:r>
        <w:t xml:space="preserve">Maintenance that changes the system’s configuration shall also follow the change control process (CM-3). (MA-2b)</w:t>
      </w:r>
    </w:p>
    <w:p>
      <w:pPr>
        <w:pStyle w:val="Compact"/>
        <w:numPr>
          <w:ilvl w:val="0"/>
          <w:numId w:val="1213"/>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213"/>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213"/>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213"/>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213"/>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p>
      <w:pPr>
        <w:pStyle w:val="Guidance"/>
      </w:pPr>
      <w:r>
        <w:t xml:space="preserve">Replacement components bring supply chain risk, which NIST’s MA-2 discussion asks organizations to consider: obtain them from the original manufacturer or its authorized channel, or from a source the supply chain risk management plan allows. The post-maintenance check can use the change’s security impact analysis (CM-4) to decide which controls to verify.</w:t>
      </w:r>
    </w:p>
    <w:bookmarkEnd w:id="279"/>
    <w:bookmarkStart w:id="280" w:name="automated-maintenance-activities-ma-22"/>
    <w:p>
      <w:pPr>
        <w:pStyle w:val="Heading4"/>
      </w:pPr>
      <w:r>
        <w:t xml:space="preserve">Automated maintenance activities (MA-2(2))</w:t>
      </w:r>
    </w:p>
    <w:p>
      <w:pPr>
        <w:pStyle w:val="Guidance"/>
      </w:pPr>
      <w:r>
        <w:t xml:space="preserve">MA-2(2) is in the High baseline. An IT service management or maintenance management system that schedules work orders, and management tools that carry out and report the work, give the timely, accurate and complete records NIST’s discussion describes. Records of requested and scheduled work, not only completed work, are what distinguish this enhancement from MA-2.</w:t>
      </w:r>
    </w:p>
    <w:p>
      <w:pPr>
        <w:pStyle w:val="Compact"/>
        <w:numPr>
          <w:ilvl w:val="0"/>
          <w:numId w:val="1214"/>
        </w:numPr>
      </w:pPr>
      <w:r>
        <w:t xml:space="preserve">The</w:t>
      </w:r>
      <w:r>
        <w:t xml:space="preserve"> </w:t>
      </w:r>
      <w:r>
        <w:rPr>
          <w:rStyle w:val="Fill-in"/>
        </w:rPr>
        <w:t xml:space="preserve">[System owner]</w:t>
      </w:r>
      <w:r>
        <w:t xml:space="preserve"> </w:t>
      </w:r>
      <w:r>
        <w:t xml:space="preserve">shall schedule maintenance, repair and replacement actions for the system using</w:t>
      </w:r>
      <w:r>
        <w:t xml:space="preserve"> </w:t>
      </w:r>
      <w:r>
        <w:rPr>
          <w:rStyle w:val="Fill-in"/>
        </w:rPr>
        <w:t xml:space="preserve">[Fill in: automated mechanisms used to schedule maintenance, repair, and replacement actions for the system. Typical: the organization’s IT service management system]</w:t>
      </w:r>
      <w:r>
        <w:t xml:space="preserve">. (MA-2(2)(a))</w:t>
      </w:r>
    </w:p>
    <w:p>
      <w:pPr>
        <w:pStyle w:val="Compact"/>
        <w:numPr>
          <w:ilvl w:val="0"/>
          <w:numId w:val="1214"/>
        </w:numPr>
      </w:pPr>
      <w:r>
        <w:t xml:space="preserve">The</w:t>
      </w:r>
      <w:r>
        <w:t xml:space="preserve"> </w:t>
      </w:r>
      <w:r>
        <w:rPr>
          <w:rStyle w:val="Fill-in"/>
        </w:rPr>
        <w:t xml:space="preserve">[System owner]</w:t>
      </w:r>
      <w:r>
        <w:t xml:space="preserve"> </w:t>
      </w:r>
      <w:r>
        <w:t xml:space="preserve">shall conduct maintenance, repair and replacement actions for the system using</w:t>
      </w:r>
      <w:r>
        <w:t xml:space="preserve"> </w:t>
      </w:r>
      <w:r>
        <w:rPr>
          <w:rStyle w:val="Fill-in"/>
        </w:rPr>
        <w:t xml:space="preserve">[Fill in: automated mechanisms used to conduct maintenance, repair, and replacement actions for the system. Typical: the endpoint and configuration management tools that deploy updates, firmware and configuration changes]</w:t>
      </w:r>
      <w:r>
        <w:t xml:space="preserve">, where the action can be automated. (MA-2(2)(a))</w:t>
      </w:r>
    </w:p>
    <w:p>
      <w:pPr>
        <w:pStyle w:val="Compact"/>
        <w:numPr>
          <w:ilvl w:val="0"/>
          <w:numId w:val="1214"/>
        </w:numPr>
      </w:pPr>
      <w:r>
        <w:t xml:space="preserve">The</w:t>
      </w:r>
      <w:r>
        <w:t xml:space="preserve"> </w:t>
      </w:r>
      <w:r>
        <w:rPr>
          <w:rStyle w:val="Fill-in"/>
        </w:rPr>
        <w:t xml:space="preserve">[System owner]</w:t>
      </w:r>
      <w:r>
        <w:t xml:space="preserve"> </w:t>
      </w:r>
      <w:r>
        <w:t xml:space="preserve">shall document maintenance, repair and replacement actions for the system using</w:t>
      </w:r>
      <w:r>
        <w:t xml:space="preserve"> </w:t>
      </w:r>
      <w:r>
        <w:rPr>
          <w:rStyle w:val="Fill-in"/>
        </w:rPr>
        <w:t xml:space="preserve">[Fill in: automated mechanisms used to document maintenance, repair, and replacement actions for the system. Typical: the organization’s IT service management system, fed by the endpoint and configuration management tools]</w:t>
      </w:r>
      <w:r>
        <w:t xml:space="preserve">. (MA-2(2)(a))</w:t>
      </w:r>
    </w:p>
    <w:p>
      <w:pPr>
        <w:pStyle w:val="Compact"/>
        <w:numPr>
          <w:ilvl w:val="0"/>
          <w:numId w:val="1214"/>
        </w:numPr>
      </w:pPr>
      <w:r>
        <w:t xml:space="preserve">The</w:t>
      </w:r>
      <w:r>
        <w:t xml:space="preserve"> </w:t>
      </w:r>
      <w:r>
        <w:rPr>
          <w:rStyle w:val="Fill-in"/>
        </w:rPr>
        <w:t xml:space="preserve">[System owner]</w:t>
      </w:r>
      <w:r>
        <w:t xml:space="preserve"> </w:t>
      </w:r>
      <w:r>
        <w:t xml:space="preserve">shall ensure those mechanisms produce up-to-date, accurate and complete records of all maintenance, repair and replacement actions requested, scheduled, in process and completed. (MA-2(2)(b))</w:t>
      </w:r>
    </w:p>
    <w:bookmarkEnd w:id="280"/>
    <w:bookmarkStart w:id="281" w:name="maintenance-tools-ma-3"/>
    <w:p>
      <w:pPr>
        <w:pStyle w:val="Heading4"/>
      </w:pPr>
      <w:r>
        <w:t xml:space="preserve">Maintenance tools (MA-3)</w:t>
      </w:r>
    </w:p>
    <w:p>
      <w:pPr>
        <w:pStyle w:val="Guidance"/>
      </w:pPr>
      <w:r>
        <w:t xml:space="preserve">Maintenance tools are the diagnostic and repair tools that are not part of the system: diagnostic test equipment, packet sniffers, vendor utilities brought in on media or downloaded, and cloud-based diagnostic services. NIST’s MA-3 discussion notes they can carry malicious code into a facility and a system, and excludes utilities built into the system, such as ping or a switch’s monitoring port. Keep the approved tools list in the</w:t>
      </w:r>
      <w:r>
        <w:t xml:space="preserve"> </w:t>
      </w:r>
      <w:hyperlink r:id="rId276">
        <w:r>
          <w:rPr>
            <w:rStyle w:val="Hyperlink"/>
          </w:rPr>
          <w:t xml:space="preserve">maintenance log</w:t>
        </w:r>
      </w:hyperlink>
      <w:r>
        <w:t xml:space="preserve">. The periodic review withdraws approval for tools that are outdated, unsupported or no longer used, as NIST’s discussion describes.</w:t>
      </w:r>
    </w:p>
    <w:p>
      <w:pPr>
        <w:pStyle w:val="Compact"/>
        <w:numPr>
          <w:ilvl w:val="0"/>
          <w:numId w:val="1215"/>
        </w:numPr>
      </w:pPr>
      <w:r>
        <w:t xml:space="preserve">The</w:t>
      </w:r>
      <w:r>
        <w:t xml:space="preserve"> </w:t>
      </w:r>
      <w:r>
        <w:rPr>
          <w:rStyle w:val="Fill-in"/>
        </w:rPr>
        <w:t xml:space="preserve">[System owner]</w:t>
      </w:r>
      <w:r>
        <w:t xml:space="preserve"> </w:t>
      </w:r>
      <w:r>
        <w:t xml:space="preserve">shall approve each maintenance tool before it is used on the system, and record it on the system’s approved maintenance tools list. (MA-3a)</w:t>
      </w:r>
    </w:p>
    <w:p>
      <w:pPr>
        <w:pStyle w:val="Compact"/>
        <w:numPr>
          <w:ilvl w:val="0"/>
          <w:numId w:val="1215"/>
        </w:numPr>
      </w:pPr>
      <w:r>
        <w:t xml:space="preserve">The</w:t>
      </w:r>
      <w:r>
        <w:t xml:space="preserve"> </w:t>
      </w:r>
      <w:r>
        <w:rPr>
          <w:rStyle w:val="Fill-in"/>
        </w:rPr>
        <w:t xml:space="preserve">[System owner]</w:t>
      </w:r>
      <w:r>
        <w:t xml:space="preserve"> </w:t>
      </w:r>
      <w:r>
        <w:t xml:space="preserve">shall control the use of maintenance tools, so that only approved tools are used, only by authorized maintenance personnel. (MA-3a)</w:t>
      </w:r>
    </w:p>
    <w:p>
      <w:pPr>
        <w:pStyle w:val="Compact"/>
        <w:numPr>
          <w:ilvl w:val="0"/>
          <w:numId w:val="1215"/>
        </w:numPr>
      </w:pPr>
      <w:r>
        <w:t xml:space="preserve">The</w:t>
      </w:r>
      <w:r>
        <w:t xml:space="preserve"> </w:t>
      </w:r>
      <w:r>
        <w:rPr>
          <w:rStyle w:val="Fill-in"/>
        </w:rPr>
        <w:t xml:space="preserve">[System owner]</w:t>
      </w:r>
      <w:r>
        <w:t xml:space="preserve"> </w:t>
      </w:r>
      <w:r>
        <w:t xml:space="preserve">shall monitor the use of maintenance tools, through escort or session supervision and the audit records of privileged tool use (AU-2). (MA-3a)</w:t>
      </w:r>
    </w:p>
    <w:p>
      <w:pPr>
        <w:pStyle w:val="Compact"/>
        <w:numPr>
          <w:ilvl w:val="0"/>
          <w:numId w:val="1215"/>
        </w:numPr>
      </w:pPr>
      <w:r>
        <w:t xml:space="preserve">The</w:t>
      </w:r>
      <w:r>
        <w:t xml:space="preserve"> </w:t>
      </w:r>
      <w:r>
        <w:rPr>
          <w:rStyle w:val="Fill-in"/>
        </w:rPr>
        <w:t xml:space="preserve">[System owner]</w:t>
      </w:r>
      <w:r>
        <w:t xml:space="preserve"> </w:t>
      </w:r>
      <w:r>
        <w:t xml:space="preserve">shall review previously approved system maintenance tools</w:t>
      </w:r>
      <w:r>
        <w:t xml:space="preserve"> </w:t>
      </w:r>
      <w:r>
        <w:rPr>
          <w:rStyle w:val="Fill-in"/>
        </w:rPr>
        <w:t xml:space="preserve">[Fill in: frequency at which to review previously approved system maintenance tools. Typical: at least annually]</w:t>
      </w:r>
      <w:r>
        <w:t xml:space="preserve">, and withdraw approval for tools that are outdated, unsupported, no longer needed or no longer used. (MA-3b)</w:t>
      </w:r>
    </w:p>
    <w:bookmarkEnd w:id="281"/>
    <w:bookmarkStart w:id="282" w:name="inspect-tools-ma-31"/>
    <w:p>
      <w:pPr>
        <w:pStyle w:val="Heading4"/>
      </w:pPr>
      <w:r>
        <w:t xml:space="preserve">Inspect tools (MA-3(1))</w:t>
      </w:r>
    </w:p>
    <w:p>
      <w:pPr>
        <w:pStyle w:val="Guidance"/>
      </w:pPr>
      <w:r>
        <w:t xml:space="preserve">Inspection means checking that a tool is the approved one, in the approved version, with no sign of tampering: for hardware, its seals, serial number and condition; for software, a hash or signature check against the vendor’s published value. NIST’s discussion of this enhancement has an improperly modified tool, or one containing malicious code, handled as an incident.</w:t>
      </w:r>
    </w:p>
    <w:p>
      <w:pPr>
        <w:pStyle w:val="Compact"/>
        <w:numPr>
          <w:ilvl w:val="0"/>
          <w:numId w:val="1216"/>
        </w:numPr>
      </w:pPr>
      <w:r>
        <w:t xml:space="preserve">The</w:t>
      </w:r>
      <w:r>
        <w:t xml:space="preserve"> </w:t>
      </w:r>
      <w:r>
        <w:rPr>
          <w:rStyle w:val="Fill-in"/>
        </w:rPr>
        <w:t xml:space="preserve">[System owner]</w:t>
      </w:r>
      <w:r>
        <w:t xml:space="preserve"> </w:t>
      </w:r>
      <w:r>
        <w:t xml:space="preserve">shall ensure the maintenance tools that maintenance personnel bring into the facility or download are inspected for improper or unauthorized modifications before each use on the system. (MA-3(1))</w:t>
      </w:r>
    </w:p>
    <w:p>
      <w:pPr>
        <w:pStyle w:val="Compact"/>
        <w:numPr>
          <w:ilvl w:val="0"/>
          <w:numId w:val="1216"/>
        </w:numPr>
      </w:pPr>
      <w:r>
        <w:t xml:space="preserve">Personnel shall report a tool found to be modified improperly, or to contain malicious code, as a security incident under the incident response plan (IR-6). (MA-3(1))</w:t>
      </w:r>
    </w:p>
    <w:bookmarkEnd w:id="282"/>
    <w:bookmarkStart w:id="283" w:name="inspect-media-ma-32"/>
    <w:p>
      <w:pPr>
        <w:pStyle w:val="Heading4"/>
      </w:pPr>
      <w:r>
        <w:t xml:space="preserve">Inspect media (MA-3(2))</w:t>
      </w:r>
    </w:p>
    <w:p>
      <w:pPr>
        <w:pStyle w:val="Guidance"/>
      </w:pPr>
      <w:r>
        <w:t xml:space="preserve">Scan the media on a workstation that is not connected to the system, with the organization’s malicious code protection (SI-3), and record the scan in the maintenance log. NIST’s discussion of this enhancement has malicious code found on the media handled as an incident.</w:t>
      </w:r>
    </w:p>
    <w:p>
      <w:pPr>
        <w:pStyle w:val="Compact"/>
        <w:numPr>
          <w:ilvl w:val="0"/>
          <w:numId w:val="1217"/>
        </w:numPr>
      </w:pPr>
      <w:r>
        <w:t xml:space="preserve">The</w:t>
      </w:r>
      <w:r>
        <w:t xml:space="preserve"> </w:t>
      </w:r>
      <w:r>
        <w:rPr>
          <w:rStyle w:val="Fill-in"/>
        </w:rPr>
        <w:t xml:space="preserve">[System owner]</w:t>
      </w:r>
      <w:r>
        <w:t xml:space="preserve"> </w:t>
      </w:r>
      <w:r>
        <w:t xml:space="preserve">shall ensure media containing diagnostic and test programs are checked for malicious code before the media are used in the system. (MA-3(2))</w:t>
      </w:r>
    </w:p>
    <w:p>
      <w:pPr>
        <w:pStyle w:val="Compact"/>
        <w:numPr>
          <w:ilvl w:val="0"/>
          <w:numId w:val="1217"/>
        </w:numPr>
      </w:pPr>
      <w:r>
        <w:t xml:space="preserve">Personnel shall report malicious code found on such media as a security incident under the incident response plan (IR-6), and the media shall not be used. (MA-3(2))</w:t>
      </w:r>
    </w:p>
    <w:bookmarkEnd w:id="283"/>
    <w:bookmarkStart w:id="286" w:name="prevent-unauthorized-removal-ma-33"/>
    <w:p>
      <w:pPr>
        <w:pStyle w:val="Heading4"/>
      </w:pPr>
      <w:r>
        <w:t xml:space="preserve">Prevent unauthorized removal (MA-3(3))</w:t>
      </w:r>
    </w:p>
    <w:p>
      <w:pPr>
        <w:pStyle w:val="Guidance"/>
      </w:pPr>
      <w:r>
        <w:t xml:space="preserve">MA-3(3) covers maintenance equipment, such as a vendor’s diagnostic laptop or analyzer, that may have picked up organizational information during the work. Organizational information includes information the organization holds as a steward for others, as NIST’s discussion of this enhancement says. The four measures are alternatives; the maintenance log records which one was used. Sanitize as the media sanitization procedure sets out (MP-6), and record it in the</w:t>
      </w:r>
      <w:r>
        <w:t xml:space="preserve"> </w:t>
      </w:r>
      <w:hyperlink r:id="rId278">
        <w:r>
          <w:rPr>
            <w:rStyle w:val="Hyperlink"/>
          </w:rPr>
          <w:t xml:space="preserve">media sanitization record</w:t>
        </w:r>
      </w:hyperlink>
      <w:r>
        <w:t xml:space="preserve">.</w:t>
      </w:r>
    </w:p>
    <w:p>
      <w:pPr>
        <w:pStyle w:val="Compact"/>
        <w:numPr>
          <w:ilvl w:val="0"/>
          <w:numId w:val="1218"/>
        </w:numPr>
      </w:pPr>
      <w:r>
        <w:t xml:space="preserve">The</w:t>
      </w:r>
      <w:r>
        <w:t xml:space="preserve"> </w:t>
      </w:r>
      <w:r>
        <w:rPr>
          <w:rStyle w:val="Fill-in"/>
        </w:rPr>
        <w:t xml:space="preserve">[System owner]</w:t>
      </w:r>
      <w:r>
        <w:t xml:space="preserve"> </w:t>
      </w:r>
      <w:r>
        <w:t xml:space="preserve">shall prevent the removal of maintenance equipment containing organizational information from the facility by verifying that there is no organizational information on the equipment, sanitizing or destroying the equipment, retaining the equipment within the facility, or obtaining a written exemption from</w:t>
      </w:r>
      <w:r>
        <w:t xml:space="preserve"> </w:t>
      </w:r>
      <w:r>
        <w:rPr>
          <w:rStyle w:val="Fill-in"/>
        </w:rPr>
        <w:t xml:space="preserve">[Fill in: personnel or roles who can authorize removal of equipment from the facility. Typical: the Chief Information Security Officer]</w:t>
      </w:r>
      <w:r>
        <w:t xml:space="preserve"> </w:t>
      </w:r>
      <w:r>
        <w:t xml:space="preserve">explicitly authorizing its removal. (MA-3(3))</w:t>
      </w:r>
    </w:p>
    <w:p>
      <w:pPr>
        <w:pStyle w:val="Compact"/>
        <w:numPr>
          <w:ilvl w:val="0"/>
          <w:numId w:val="1218"/>
        </w:numPr>
      </w:pPr>
      <w:r>
        <w:t xml:space="preserve">The</w:t>
      </w:r>
      <w:r>
        <w:t xml:space="preserve"> </w:t>
      </w:r>
      <w:r>
        <w:rPr>
          <w:rStyle w:val="Fill-in"/>
        </w:rPr>
        <w:t xml:space="preserve">[System owner]</w:t>
      </w:r>
      <w:r>
        <w:t xml:space="preserve"> </w:t>
      </w:r>
      <w:r>
        <w:t xml:space="preserve">shall record in the maintenance records which of these four measures was used for each piece of maintenance equipment. (MA-3(3))</w:t>
      </w:r>
    </w:p>
    <w:p>
      <w:pPr>
        <w:pStyle w:val="Compact"/>
        <w:numPr>
          <w:ilvl w:val="0"/>
          <w:numId w:val="1218"/>
        </w:numPr>
      </w:pPr>
      <w:r>
        <w:t xml:space="preserve">Maintenance contracts shall allow the organization to keep, sanitize or destroy maintenance equipment or its storage media that contain organizational information. (MA-3(3))</w:t>
      </w:r>
    </w:p>
    <w:bookmarkStart w:id="285" w:name="federal-systems-14"/>
    <w:p>
      <w:pPr>
        <w:pStyle w:val="Heading5"/>
      </w:pPr>
      <w:r>
        <w:t xml:space="preserve">Federal systems</w:t>
      </w:r>
    </w:p>
    <w:p>
      <w:pPr>
        <w:pStyle w:val="FirstParagraph"/>
      </w:pPr>
      <w:r>
        <w:t xml:space="preserve">Under</w:t>
      </w:r>
      <w:r>
        <w:t xml:space="preserve"> </w:t>
      </w:r>
      <w:hyperlink r:id="rId284">
        <w:r>
          <w:rPr>
            <w:rStyle w:val="Hyperlink"/>
          </w:rPr>
          <w:t xml:space="preserve">32 CFR 2002.14(f)(2)</w:t>
        </w:r>
      </w:hyperlink>
      <w:r>
        <w:t xml:space="preserve">, agencies that destroy controlled unclassified information (CUI), including in electronic form, must make it unreadable, indecipherable and irrecoverable. They must use any destruction method specifically required by law, regulation or Government-wide policy for that CUI; otherwise they must use the destruction guidance in NIST SP 800-53 and SP 800-88, or a method approved for classified national security information under 32 CFR 2001.47. As of September 2026.</w:t>
      </w:r>
    </w:p>
    <w:p>
      <w:pPr>
        <w:pStyle w:val="Compact"/>
        <w:numPr>
          <w:ilvl w:val="0"/>
          <w:numId w:val="1219"/>
        </w:numPr>
      </w:pPr>
      <w:r>
        <w:t xml:space="preserve">Where maintenance equipment containing CUI is destroyed to prevent its removal, the</w:t>
      </w:r>
      <w:r>
        <w:t xml:space="preserve"> </w:t>
      </w:r>
      <w:r>
        <w:rPr>
          <w:rStyle w:val="Fill-in"/>
        </w:rPr>
        <w:t xml:space="preserve">[System owner]</w:t>
      </w:r>
      <w:r>
        <w:t xml:space="preserve"> </w:t>
      </w:r>
      <w:r>
        <w:t xml:space="preserve">shall destroy it by a method that 32 CFR 2002.14(f)(2) permits. (MA-3(3)(b))</w:t>
      </w:r>
    </w:p>
    <w:bookmarkEnd w:id="285"/>
    <w:bookmarkEnd w:id="286"/>
    <w:bookmarkStart w:id="292" w:name="nonlocal-maintenance-ma-4"/>
    <w:p>
      <w:pPr>
        <w:pStyle w:val="Heading4"/>
      </w:pPr>
      <w:r>
        <w:t xml:space="preserve">Nonlocal maintenance (MA-4)</w:t>
      </w:r>
    </w:p>
    <w:p>
      <w:pPr>
        <w:pStyle w:val="Guidance"/>
      </w:pPr>
      <w:r>
        <w:t xml:space="preserve">Nonlocal maintenance is maintenance or diagnosis by someone who connects over a network, internal or external, rather than being physically present. It is remote access, so the AC-17 requirements apply as well: a managed access control point (AC-17(3)), encryption (AC-17(2)) and remote privileged commands only as AC-17(4) allows. NIST’s MA-4 discussion ties strong authentication to IA-2: replay-resistant, multi-factor authenticators, such as a PKI certificate on a token protected by a PIN. The common finding is a vendor’s always-on remote support tool or account that nobody approved; enabling a maintenance account only for each approved session and disabling it afterward closes that gap. The</w:t>
      </w:r>
      <w:r>
        <w:t xml:space="preserve"> </w:t>
      </w:r>
      <w:hyperlink r:id="rId276">
        <w:r>
          <w:rPr>
            <w:rStyle w:val="Hyperlink"/>
          </w:rPr>
          <w:t xml:space="preserve">maintenance log</w:t>
        </w:r>
      </w:hyperlink>
      <w:r>
        <w:t xml:space="preserve"> </w:t>
      </w:r>
      <w:r>
        <w:t xml:space="preserve">records each session.</w:t>
      </w:r>
    </w:p>
    <w:p>
      <w:pPr>
        <w:pStyle w:val="Compact"/>
        <w:numPr>
          <w:ilvl w:val="0"/>
          <w:numId w:val="1220"/>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220"/>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220"/>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220"/>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220"/>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220"/>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220"/>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220"/>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291" w:name="federal-systems-15"/>
    <w:p>
      <w:pPr>
        <w:pStyle w:val="Heading5"/>
      </w:pPr>
      <w:r>
        <w:t xml:space="preserve">Federal systems</w:t>
      </w:r>
    </w:p>
    <w:p>
      <w:pPr>
        <w:pStyle w:val="FirstParagraph"/>
      </w:pPr>
      <w:hyperlink r:id="rId287">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288">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289">
        <w:r>
          <w:rPr>
            <w:rStyle w:val="Hyperlink"/>
          </w:rPr>
          <w:t xml:space="preserve">OMB M-26-18</w:t>
        </w:r>
      </w:hyperlink>
      <w:r>
        <w:t xml:space="preserve"> </w:t>
      </w:r>
      <w:r>
        <w:t xml:space="preserve">(August 31, 2026), footnote 5, lists both memoranda as existing OMB policy. CISA</w:t>
      </w:r>
      <w:r>
        <w:t xml:space="preserve"> </w:t>
      </w:r>
      <w:hyperlink r:id="rId290">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221"/>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221"/>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291"/>
    <w:bookmarkEnd w:id="292"/>
    <w:bookmarkStart w:id="293" w:name="Xf2db5c4a3fe88c0377fa4d7d88c65e18da02025"/>
    <w:p>
      <w:pPr>
        <w:pStyle w:val="Heading4"/>
      </w:pPr>
      <w:r>
        <w:t xml:space="preserve">Comparable security and sanitization (MA-4(3))</w:t>
      </w:r>
    </w:p>
    <w:p>
      <w:pPr>
        <w:pStyle w:val="Guidance"/>
      </w:pPr>
      <w:r>
        <w:t xml:space="preserve">MA-4(3) is in the High baseline. Comparable security means the controls on the system, tools and equipment used for the maintenance are at least as comprehensive as those on the system being serviced, as NIST’s discussion of this enhancement puts it. For an external provider, get that assurance in the maintenance contract and check it the way the external service review checks any provider (SA-9). Where no provider can show it, use the second option: take the component out, sanitize it, and inspect and sanitize it again before it goes back.</w:t>
      </w:r>
    </w:p>
    <w:p>
      <w:pPr>
        <w:pStyle w:val="Compact"/>
        <w:numPr>
          <w:ilvl w:val="0"/>
          <w:numId w:val="1222"/>
        </w:numPr>
      </w:pPr>
      <w:r>
        <w:t xml:space="preserve">The</w:t>
      </w:r>
      <w:r>
        <w:t xml:space="preserve"> </w:t>
      </w:r>
      <w:r>
        <w:rPr>
          <w:rStyle w:val="Fill-in"/>
        </w:rPr>
        <w:t xml:space="preserve">[System owner]</w:t>
      </w:r>
      <w:r>
        <w:t xml:space="preserve"> </w:t>
      </w:r>
      <w:r>
        <w:t xml:space="preserve">shall require that nonlocal maintenance and diagnostic services be performed from a system that implements a security capability comparable to the capability implemented on the system being serviced. (MA-4(3)(a))</w:t>
      </w:r>
    </w:p>
    <w:p>
      <w:pPr>
        <w:pStyle w:val="Compact"/>
        <w:numPr>
          <w:ilvl w:val="0"/>
          <w:numId w:val="1222"/>
        </w:numPr>
      </w:pPr>
      <w:r>
        <w:t xml:space="preserve">The</w:t>
      </w:r>
      <w:r>
        <w:t xml:space="preserve"> </w:t>
      </w:r>
      <w:r>
        <w:rPr>
          <w:rStyle w:val="Fill-in"/>
        </w:rPr>
        <w:t xml:space="preserve">[System owner]</w:t>
      </w:r>
      <w:r>
        <w:t xml:space="preserve"> </w:t>
      </w:r>
      <w:r>
        <w:t xml:space="preserve">shall record, for each provider of nonlocal maintenance, the basis for concluding that its capability is comparable, such as its authorization or an independent attestation. (MA-4(3)(a))</w:t>
      </w:r>
    </w:p>
    <w:p>
      <w:pPr>
        <w:pStyle w:val="Compact"/>
        <w:numPr>
          <w:ilvl w:val="0"/>
          <w:numId w:val="1222"/>
        </w:numPr>
      </w:pPr>
      <w:r>
        <w:t xml:space="preserve">Where comparable capability cannot be shown, the</w:t>
      </w:r>
      <w:r>
        <w:t xml:space="preserve"> </w:t>
      </w:r>
      <w:r>
        <w:rPr>
          <w:rStyle w:val="Fill-in"/>
        </w:rPr>
        <w:t xml:space="preserve">[System owner]</w:t>
      </w:r>
      <w:r>
        <w:t xml:space="preserve"> </w:t>
      </w:r>
      <w:r>
        <w:t xml:space="preserve">shall remove the component to be serviced from the system and sanitize it of organizational information before the nonlocal service, and inspect it and sanitize it of potentially malicious software after the service and before reconnecting it to the system. (MA-4(3)(b))</w:t>
      </w:r>
    </w:p>
    <w:bookmarkEnd w:id="293"/>
    <w:bookmarkStart w:id="297" w:name="maintenance-personnel-ma-5"/>
    <w:p>
      <w:pPr>
        <w:pStyle w:val="Heading4"/>
      </w:pPr>
      <w:r>
        <w:t xml:space="preserve">Maintenance personnel (MA-5)</w:t>
      </w:r>
    </w:p>
    <w:p>
      <w:pPr>
        <w:pStyle w:val="Guidance"/>
      </w:pPr>
      <w:r>
        <w:t xml:space="preserve">MA-5 covers the people who maintain the system’s hardware and software; physical access to the facility for them is PE-2, recorded in the</w:t>
      </w:r>
      <w:r>
        <w:t xml:space="preserve"> </w:t>
      </w:r>
      <w:hyperlink r:id="rId294">
        <w:r>
          <w:rPr>
            <w:rStyle w:val="Hyperlink"/>
          </w:rPr>
          <w:t xml:space="preserve">physical access list</w:t>
        </w:r>
      </w:hyperlink>
      <w:r>
        <w:t xml:space="preserve"> </w:t>
      </w:r>
      <w:r>
        <w:t xml:space="preserve">or, for visitors, the</w:t>
      </w:r>
      <w:r>
        <w:t xml:space="preserve"> </w:t>
      </w:r>
      <w:hyperlink r:id="rId295">
        <w:r>
          <w:rPr>
            <w:rStyle w:val="Hyperlink"/>
          </w:rPr>
          <w:t xml:space="preserve">visitor log</w:t>
        </w:r>
      </w:hyperlink>
      <w:r>
        <w:t xml:space="preserve">. Unescorted maintenance personnel need the same access authorizations as anyone with that access: screening (PS-3), a signed access agreement (PS-6) and, for a contractor, the external personnel requirements of the</w:t>
      </w:r>
      <w:r>
        <w:t xml:space="preserve"> </w:t>
      </w:r>
      <w:hyperlink r:id="rId296">
        <w:r>
          <w:rPr>
            <w:rStyle w:val="Hyperlink"/>
          </w:rPr>
          <w:t xml:space="preserve">Personnel Security Policy</w:t>
        </w:r>
      </w:hyperlink>
      <w:r>
        <w:t xml:space="preserve"> </w:t>
      </w:r>
      <w:r>
        <w:t xml:space="preserve">(PS-7). NIST’s MA-5 discussion allows temporary credentials, for one use or a very limited time, for vendors who must work with little notice. The</w:t>
      </w:r>
      <w:r>
        <w:t xml:space="preserve"> </w:t>
      </w:r>
      <w:hyperlink r:id="rId276">
        <w:r>
          <w:rPr>
            <w:rStyle w:val="Hyperlink"/>
          </w:rPr>
          <w:t xml:space="preserve">maintenance log</w:t>
        </w:r>
      </w:hyperlink>
      <w:r>
        <w:t xml:space="preserve"> </w:t>
      </w:r>
      <w:r>
        <w:t xml:space="preserve">holds the authorized list and records each escort.</w:t>
      </w:r>
    </w:p>
    <w:p>
      <w:pPr>
        <w:pStyle w:val="Compact"/>
        <w:numPr>
          <w:ilvl w:val="0"/>
          <w:numId w:val="1223"/>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223"/>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223"/>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223"/>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223"/>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223"/>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223"/>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297"/>
    <w:bookmarkStart w:id="298" w:name="X622b7a90c368c01719e3e1a4d1a6711d061eed4"/>
    <w:p>
      <w:pPr>
        <w:pStyle w:val="Heading4"/>
      </w:pPr>
      <w:r>
        <w:t xml:space="preserve">Individuals without appropriate access (MA-5(1))</w:t>
      </w:r>
    </w:p>
    <w:p>
      <w:pPr>
        <w:pStyle w:val="Guidance"/>
      </w:pPr>
      <w:r>
        <w:t xml:space="preserve">MA-5(1) is in the High baseline. NIST’s discussion of this enhancement says these procedures are meant to deny visual and electronic access to classified or controlled unclassified information on the system, and that they can be documented in the system security plan. Outside government, apply them to maintenance personnel who lack the screening, citizenship or other access approvals the system’s information requires, such as export-controlled information. Systems that process classified information add MA-5(2) to MA-5(4), which are in no baseline.</w:t>
      </w:r>
    </w:p>
    <w:p>
      <w:pPr>
        <w:pStyle w:val="Compact"/>
        <w:numPr>
          <w:ilvl w:val="0"/>
          <w:numId w:val="1224"/>
        </w:numPr>
      </w:pPr>
      <w:r>
        <w:t xml:space="preserve">The</w:t>
      </w:r>
      <w:r>
        <w:t xml:space="preserve"> </w:t>
      </w:r>
      <w:r>
        <w:rPr>
          <w:rStyle w:val="Fill-in"/>
        </w:rPr>
        <w:t xml:space="preserve">[System owner]</w:t>
      </w:r>
      <w:r>
        <w:t xml:space="preserve"> </w:t>
      </w:r>
      <w:r>
        <w:t xml:space="preserve">shall implement procedures, documented in the system security plan, for the use of maintenance personnel who lack the security clearances, citizenship or formal access approvals the system’s information requires. (MA-5(1)(a))</w:t>
      </w:r>
    </w:p>
    <w:p>
      <w:pPr>
        <w:pStyle w:val="Compact"/>
        <w:numPr>
          <w:ilvl w:val="0"/>
          <w:numId w:val="1224"/>
        </w:numPr>
      </w:pPr>
      <w:r>
        <w:t xml:space="preserve">Those maintenance personnel shall be escorted and supervised during the performance of maintenance and diagnostic activities on the system by approved organizational personnel who hold the required clearances and access authorizations and are technically qualified. (MA-5(1)(a)(1))</w:t>
      </w:r>
    </w:p>
    <w:p>
      <w:pPr>
        <w:pStyle w:val="Compact"/>
        <w:numPr>
          <w:ilvl w:val="0"/>
          <w:numId w:val="1224"/>
        </w:numPr>
      </w:pPr>
      <w:r>
        <w:t xml:space="preserve">Before such personnel begin maintenance or diagnostic activities, the</w:t>
      </w:r>
      <w:r>
        <w:t xml:space="preserve"> </w:t>
      </w:r>
      <w:r>
        <w:rPr>
          <w:rStyle w:val="Fill-in"/>
        </w:rPr>
        <w:t xml:space="preserve">[System owner]</w:t>
      </w:r>
      <w:r>
        <w:t xml:space="preserve"> </w:t>
      </w:r>
      <w:r>
        <w:t xml:space="preserve">shall ensure all volatile information storage components within the system are sanitized, and all nonvolatile storage media are removed or physically disconnected from the system and secured. (MA-5(1)(a)(2))</w:t>
      </w:r>
    </w:p>
    <w:p>
      <w:pPr>
        <w:pStyle w:val="Compact"/>
        <w:numPr>
          <w:ilvl w:val="0"/>
          <w:numId w:val="1224"/>
        </w:numPr>
      </w:pPr>
      <w:r>
        <w:t xml:space="preserve">Where a system component cannot be sanitized, removed or disconnected from the system, the</w:t>
      </w:r>
      <w:r>
        <w:t xml:space="preserve"> </w:t>
      </w:r>
      <w:r>
        <w:rPr>
          <w:rStyle w:val="Fill-in"/>
        </w:rPr>
        <w:t xml:space="preserve">[System owner]</w:t>
      </w:r>
      <w:r>
        <w:t xml:space="preserve"> </w:t>
      </w:r>
      <w:r>
        <w:t xml:space="preserve">shall develop and implement</w:t>
      </w:r>
      <w:r>
        <w:t xml:space="preserve"> </w:t>
      </w:r>
      <w:r>
        <w:rPr>
          <w:rStyle w:val="Fill-in"/>
        </w:rPr>
        <w:t xml:space="preserve">[Fill in: alternate controls to be developed and implemented in the event that a system component cannot be sanitized, removed, or disconnected from the system. Typical: continuous supervision by an escort who has the required access authorizations, is technically qualified and can end the activity at any time; screens, ports and data on the component kept out of the maintenance person’s view and reach; and review of the audit records of the activity afterward]</w:t>
      </w:r>
      <w:r>
        <w:t xml:space="preserve">. (MA-5(1)(b))</w:t>
      </w:r>
    </w:p>
    <w:bookmarkEnd w:id="298"/>
    <w:bookmarkStart w:id="300" w:name="timely-maintenance-ma-6"/>
    <w:p>
      <w:pPr>
        <w:pStyle w:val="Heading4"/>
      </w:pPr>
      <w:r>
        <w:t xml:space="preserve">Timely maintenance (MA-6)</w:t>
      </w:r>
    </w:p>
    <w:p>
      <w:pPr>
        <w:pStyle w:val="Guidance"/>
      </w:pPr>
      <w:r>
        <w:t xml:space="preserve">MA-6 makes sure a failed component can be fixed in time. NIST’s MA-6 discussion has the organization pick the components whose failure raises risk, and names having contracts in place as one way to obtain support. Take the components and time from the</w:t>
      </w:r>
      <w:r>
        <w:t xml:space="preserve"> </w:t>
      </w:r>
      <w:hyperlink r:id="rId182">
        <w:r>
          <w:rPr>
            <w:rStyle w:val="Hyperlink"/>
          </w:rPr>
          <w:t xml:space="preserve">business impact analysis</w:t>
        </w:r>
      </w:hyperlink>
      <w:r>
        <w:t xml:space="preserve"> </w:t>
      </w:r>
      <w:r>
        <w:t xml:space="preserve">and the</w:t>
      </w:r>
      <w:r>
        <w:t xml:space="preserve"> </w:t>
      </w:r>
      <w:hyperlink r:id="rId183">
        <w:r>
          <w:rPr>
            <w:rStyle w:val="Hyperlink"/>
          </w:rPr>
          <w:t xml:space="preserve">contingency plan</w:t>
        </w:r>
      </w:hyperlink>
      <w:r>
        <w:t xml:space="preserve">, so the maintenance support and the recovery time objective agree (CP-2, CP-10). For cloud services, the provider’s service level agreement covers its components; record that in the</w:t>
      </w:r>
      <w:r>
        <w:t xml:space="preserve"> </w:t>
      </w:r>
      <w:hyperlink r:id="rId299">
        <w:r>
          <w:rPr>
            <w:rStyle w:val="Hyperlink"/>
          </w:rPr>
          <w:t xml:space="preserve">external service review</w:t>
        </w:r>
      </w:hyperlink>
      <w:r>
        <w:t xml:space="preserve">.</w:t>
      </w:r>
    </w:p>
    <w:p>
      <w:pPr>
        <w:pStyle w:val="Compact"/>
        <w:numPr>
          <w:ilvl w:val="0"/>
          <w:numId w:val="1225"/>
        </w:numPr>
      </w:pPr>
      <w:r>
        <w:t xml:space="preserve">The</w:t>
      </w:r>
      <w:r>
        <w:t xml:space="preserve"> </w:t>
      </w:r>
      <w:r>
        <w:rPr>
          <w:rStyle w:val="Fill-in"/>
        </w:rPr>
        <w:t xml:space="preserve">[System owner]</w:t>
      </w:r>
      <w:r>
        <w:t xml:space="preserve"> </w:t>
      </w:r>
      <w:r>
        <w:t xml:space="preserve">shall obtain maintenance support or spare parts for</w:t>
      </w:r>
      <w:r>
        <w:t xml:space="preserve"> </w:t>
      </w:r>
      <w:r>
        <w:rPr>
          <w:rStyle w:val="Fill-in"/>
        </w:rPr>
        <w:t xml:space="preserve">[Fill in: system components for which maintenance support and/or spare parts are obtained. Typical: the components that support essential mission and business functions, as the business impact analysis identifies them, and the security components that protect them]</w:t>
      </w:r>
      <w:r>
        <w:t xml:space="preserve"> </w:t>
      </w:r>
      <w:r>
        <w:t xml:space="preserve">within</w:t>
      </w:r>
      <w:r>
        <w:t xml:space="preserve"> </w:t>
      </w:r>
      <w:r>
        <w:rPr>
          <w:rStyle w:val="Fill-in"/>
        </w:rPr>
        <w:t xml:space="preserve">[Fill in: time period within which maintenance support and/or spare parts are to be obtained after a failure. Typical: the recovery time objective set in the contingency plan from the business impact analysis]</w:t>
      </w:r>
      <w:r>
        <w:t xml:space="preserve"> </w:t>
      </w:r>
      <w:r>
        <w:t xml:space="preserve">of failure. (MA-6)</w:t>
      </w:r>
    </w:p>
    <w:p>
      <w:pPr>
        <w:pStyle w:val="Compact"/>
        <w:numPr>
          <w:ilvl w:val="0"/>
          <w:numId w:val="1225"/>
        </w:numPr>
      </w:pPr>
      <w:r>
        <w:t xml:space="preserve">The</w:t>
      </w:r>
      <w:r>
        <w:t xml:space="preserve"> </w:t>
      </w:r>
      <w:r>
        <w:rPr>
          <w:rStyle w:val="Fill-in"/>
        </w:rPr>
        <w:t xml:space="preserve">[System owner]</w:t>
      </w:r>
      <w:r>
        <w:t xml:space="preserve"> </w:t>
      </w:r>
      <w:r>
        <w:t xml:space="preserve">shall keep maintenance contracts, with response and repair times that meet that time, or spare parts on hand, for each of those components, and record the contracts in the contingency plan’s vendor contact list. (MA-6)</w:t>
      </w:r>
    </w:p>
    <w:p>
      <w:pPr>
        <w:pStyle w:val="Compact"/>
        <w:numPr>
          <w:ilvl w:val="0"/>
          <w:numId w:val="1225"/>
        </w:numPr>
      </w:pPr>
      <w:r>
        <w:t xml:space="preserve">The</w:t>
      </w:r>
      <w:r>
        <w:t xml:space="preserve"> </w:t>
      </w:r>
      <w:r>
        <w:rPr>
          <w:rStyle w:val="Fill-in"/>
        </w:rPr>
        <w:t xml:space="preserve">[System owner]</w:t>
      </w:r>
      <w:r>
        <w:t xml:space="preserve"> </w:t>
      </w:r>
      <w:r>
        <w:t xml:space="preserve">shall review the maintenance contracts and spare parts each time the contingency plan is reviewed, and before a contract expires. (MA-6)</w:t>
      </w:r>
    </w:p>
    <w:bookmarkEnd w:id="300"/>
    <w:bookmarkEnd w:id="301"/>
    <w:bookmarkStart w:id="319" w:name="media-protection-mp"/>
    <w:p>
      <w:pPr>
        <w:pStyle w:val="Heading3"/>
      </w:pPr>
      <w:r>
        <w:t xml:space="preserve">Media Protection (MP)</w:t>
      </w:r>
    </w:p>
    <w:bookmarkStart w:id="303" w:name="media-access-mp-2"/>
    <w:p>
      <w:pPr>
        <w:pStyle w:val="Heading4"/>
      </w:pPr>
      <w:r>
        <w:t xml:space="preserve">Media access (MP-2)</w:t>
      </w:r>
    </w:p>
    <w:p>
      <w:pPr>
        <w:pStyle w:val="Guidance"/>
      </w:pPr>
      <w:r>
        <w:t xml:space="preserve">MP-2 restricts who may access media; MP-7 restricts which media may be used on systems, a distinction NIST’s MP-7 discussion draws. NIST’s MP-2 discussion covers digital media (flash drives, tapes, external drives, optical discs) and non-digital media (paper and microfilm). The usual way to restrict access is to keep media where only authorized people can reach them (MP-4) and to encrypt digital media so that only holders of the key can read them, as the</w:t>
      </w:r>
      <w:r>
        <w:t xml:space="preserve"> </w:t>
      </w:r>
      <w:hyperlink r:id="rId302">
        <w:r>
          <w:rPr>
            <w:rStyle w:val="Hyperlink"/>
          </w:rPr>
          <w:t xml:space="preserve">encryption and key management standard</w:t>
        </w:r>
      </w:hyperlink>
      <w:r>
        <w:t xml:space="preserve"> </w:t>
      </w:r>
      <w:r>
        <w:t xml:space="preserve">requires for removable media (SC-28(1)). Assessors ask who can get into the media library or cabinets, and compare that list with the people authorized for the information.</w:t>
      </w:r>
    </w:p>
    <w:p>
      <w:pPr>
        <w:pStyle w:val="Compact"/>
        <w:numPr>
          <w:ilvl w:val="0"/>
          <w:numId w:val="1226"/>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226"/>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226"/>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226"/>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303"/>
    <w:bookmarkStart w:id="306" w:name="media-marking-mp-3"/>
    <w:p>
      <w:pPr>
        <w:pStyle w:val="Heading4"/>
      </w:pPr>
      <w:r>
        <w:t xml:space="preserve">Media marking (MP-3)</w:t>
      </w:r>
    </w:p>
    <w:p>
      <w:pPr>
        <w:pStyle w:val="Guidance"/>
      </w:pPr>
      <w:r>
        <w:t xml:space="preserve">MP-3 is in the Moderate and High baselines. Marking means a human-readable label on the media or its container that shows how the information must be handled, as NIST’s MP-3 discussion describes. NIST’s discussion also says markings are generally not required for media holding only information approved for public release. The exemption in MP-3b suits media that never leave a controlled area and are handled by automated equipment, such as tapes in a tape library; once such media leave, they are marked.</w:t>
      </w:r>
    </w:p>
    <w:p>
      <w:pPr>
        <w:pStyle w:val="Compact"/>
        <w:numPr>
          <w:ilvl w:val="0"/>
          <w:numId w:val="1227"/>
        </w:numPr>
      </w:pPr>
      <w:r>
        <w:t xml:space="preserve">The</w:t>
      </w:r>
      <w:r>
        <w:t xml:space="preserve"> </w:t>
      </w:r>
      <w:r>
        <w:rPr>
          <w:rStyle w:val="Fill-in"/>
        </w:rPr>
        <w:t xml:space="preserve">[System owner]</w:t>
      </w:r>
      <w:r>
        <w:t xml:space="preserve"> </w:t>
      </w:r>
      <w:r>
        <w:t xml:space="preserve">shall mark system media to indicate the distribution limitations, handling caveats and applicable security markings, if any, of the information they contain. (MP-3a)</w:t>
      </w:r>
    </w:p>
    <w:p>
      <w:pPr>
        <w:pStyle w:val="Compact"/>
        <w:numPr>
          <w:ilvl w:val="0"/>
          <w:numId w:val="1227"/>
        </w:numPr>
      </w:pPr>
      <w:r>
        <w:t xml:space="preserve">Markings shall use the handling labels defined in</w:t>
      </w:r>
      <w:r>
        <w:t xml:space="preserve"> </w:t>
      </w:r>
      <w:r>
        <w:rPr>
          <w:rStyle w:val="Fill-in"/>
        </w:rPr>
        <w:t xml:space="preserve">[Fill in: the organization’s information classification or handling standard]</w:t>
      </w:r>
      <w:r>
        <w:t xml:space="preserve">, together with any marking that a law, regulation or contract requires for the information. (MP-3a)</w:t>
      </w:r>
    </w:p>
    <w:p>
      <w:pPr>
        <w:pStyle w:val="Compact"/>
        <w:numPr>
          <w:ilvl w:val="0"/>
          <w:numId w:val="1227"/>
        </w:numPr>
      </w:pPr>
      <w:r>
        <w:t xml:space="preserve">Digital media shall carry the marking on the media themselves where they are large enough, and otherwise on their container. (MP-3a)</w:t>
      </w:r>
    </w:p>
    <w:p>
      <w:pPr>
        <w:pStyle w:val="Compact"/>
        <w:numPr>
          <w:ilvl w:val="0"/>
          <w:numId w:val="1227"/>
        </w:numPr>
      </w:pPr>
      <w:r>
        <w:t xml:space="preserve">The</w:t>
      </w:r>
      <w:r>
        <w:t xml:space="preserve"> </w:t>
      </w:r>
      <w:r>
        <w:rPr>
          <w:rStyle w:val="Fill-in"/>
        </w:rPr>
        <w:t xml:space="preserve">[System owner]</w:t>
      </w:r>
      <w:r>
        <w:t xml:space="preserve"> </w:t>
      </w:r>
      <w:r>
        <w:t xml:space="preserve">shall exempt</w:t>
      </w:r>
      <w:r>
        <w:t xml:space="preserve"> </w:t>
      </w:r>
      <w:r>
        <w:rPr>
          <w:rStyle w:val="Fill-in"/>
        </w:rPr>
        <w:t xml:space="preserve">[Fill in: types of system media exempt from marking when remaining in controlled areas. Typical: backup media and drives held in automated tape libraries, storage arrays and server enclosures]</w:t>
      </w:r>
      <w:r>
        <w:t xml:space="preserve"> </w:t>
      </w:r>
      <w:r>
        <w:t xml:space="preserve">from marking only while the media remain within</w:t>
      </w:r>
      <w:r>
        <w:t xml:space="preserve"> </w:t>
      </w:r>
      <w:r>
        <w:rPr>
          <w:rStyle w:val="Fill-in"/>
        </w:rPr>
        <w:t xml:space="preserve">[Fill in: controlled areas where media is exempt from marking. Typical: the data center and the media library, where physical access is limited to authorized personnel (PE-3)]</w:t>
      </w:r>
      <w:r>
        <w:t xml:space="preserve">, and shall mark them before they leave. (MP-3b)</w:t>
      </w:r>
    </w:p>
    <w:bookmarkStart w:id="305" w:name="federal-systems-16"/>
    <w:p>
      <w:pPr>
        <w:pStyle w:val="Heading5"/>
      </w:pPr>
      <w:r>
        <w:t xml:space="preserve">Federal systems</w:t>
      </w:r>
    </w:p>
    <w:p>
      <w:pPr>
        <w:pStyle w:val="FirstParagraph"/>
      </w:pPr>
      <w:r>
        <w:t xml:space="preserve">Under</w:t>
      </w:r>
      <w:r>
        <w:t xml:space="preserve"> </w:t>
      </w:r>
      <w:hyperlink r:id="rId304">
        <w:r>
          <w:rPr>
            <w:rStyle w:val="Hyperlink"/>
          </w:rPr>
          <w:t xml:space="preserve">32 CFR 2002.20(a)(1)</w:t>
        </w:r>
      </w:hyperlink>
      <w:r>
        <w:t xml:space="preserve">, agencies and authorized holders must uniformly and conspicuously apply CUI markings to all controlled unclassified information (CUI), in accordance with 32 CFR Part 2002 and the CUI Registry, unless that part or the CUI Executive Agent specifically permits otherwise. Under 2002.20(a)(7), a missing marking does not exempt an authorized holder from the handling requirements. Under 2002.20(a)(8), when marking CUI individually is impractical because of its quantity or nature, or under a limited marking waiver, authorized holders must make recipients aware of its CUI status by an alternate method that is readily apparent, such as signs in storage areas or on containers. As of October 2026.</w:t>
      </w:r>
    </w:p>
    <w:p>
      <w:pPr>
        <w:pStyle w:val="Compact"/>
        <w:numPr>
          <w:ilvl w:val="0"/>
          <w:numId w:val="1228"/>
        </w:numPr>
      </w:pPr>
      <w:r>
        <w:t xml:space="preserve">The</w:t>
      </w:r>
      <w:r>
        <w:t xml:space="preserve"> </w:t>
      </w:r>
      <w:r>
        <w:rPr>
          <w:rStyle w:val="Fill-in"/>
        </w:rPr>
        <w:t xml:space="preserve">[System owner]</w:t>
      </w:r>
      <w:r>
        <w:t xml:space="preserve"> </w:t>
      </w:r>
      <w:r>
        <w:t xml:space="preserve">shall mark system media containing CUI with CUI markings in accordance with 32 CFR 2002.20 and the CUI Registry. (MP-3a)</w:t>
      </w:r>
    </w:p>
    <w:p>
      <w:pPr>
        <w:pStyle w:val="Compact"/>
        <w:numPr>
          <w:ilvl w:val="0"/>
          <w:numId w:val="1228"/>
        </w:numPr>
      </w:pPr>
      <w:r>
        <w:t xml:space="preserve">The</w:t>
      </w:r>
      <w:r>
        <w:t xml:space="preserve"> </w:t>
      </w:r>
      <w:r>
        <w:rPr>
          <w:rStyle w:val="Fill-in"/>
        </w:rPr>
        <w:t xml:space="preserve">[System owner]</w:t>
      </w:r>
      <w:r>
        <w:t xml:space="preserve"> </w:t>
      </w:r>
      <w:r>
        <w:t xml:space="preserve">shall not apply the MP-3b exemption to media containing CUI unless their CUI status is shown by an alternate marking method that 32 CFR 2002.20(a)(8) permits, such as signs in the storage area or on the container. (MP-3b)</w:t>
      </w:r>
    </w:p>
    <w:bookmarkEnd w:id="305"/>
    <w:bookmarkEnd w:id="306"/>
    <w:bookmarkStart w:id="308" w:name="media-storage-mp-4"/>
    <w:p>
      <w:pPr>
        <w:pStyle w:val="Heading4"/>
      </w:pPr>
      <w:r>
        <w:t xml:space="preserve">Media storage (MP-4)</w:t>
      </w:r>
    </w:p>
    <w:p>
      <w:pPr>
        <w:pStyle w:val="Guidance"/>
      </w:pPr>
      <w:r>
        <w:t xml:space="preserve">MP-4 is in the Moderate and High baselines. NIST’s MP-4 discussion describes physical control as inventories, check-out and return procedures, and accountability for stored media, and secure storage as a locked drawer, desk or cabinet or a controlled media library, matched to the security category of the information. MP-4b covers media until they are sanitized or destroyed, so failed drives and retired equipment waiting for sanitization stay in a controlled area and on the inventory. The</w:t>
      </w:r>
      <w:r>
        <w:t xml:space="preserve"> </w:t>
      </w:r>
      <w:hyperlink r:id="rId278">
        <w:r>
          <w:rPr>
            <w:rStyle w:val="Hyperlink"/>
          </w:rPr>
          <w:t xml:space="preserve">media sanitization record</w:t>
        </w:r>
      </w:hyperlink>
      <w:r>
        <w:t xml:space="preserve"> </w:t>
      </w:r>
      <w:r>
        <w:t xml:space="preserve">closes each item out.</w:t>
      </w:r>
    </w:p>
    <w:p>
      <w:pPr>
        <w:pStyle w:val="Compact"/>
        <w:numPr>
          <w:ilvl w:val="0"/>
          <w:numId w:val="1229"/>
        </w:numPr>
      </w:pPr>
      <w:r>
        <w:t xml:space="preserve">The</w:t>
      </w:r>
      <w:r>
        <w:t xml:space="preserve"> </w:t>
      </w:r>
      <w:r>
        <w:rPr>
          <w:rStyle w:val="Fill-in"/>
        </w:rPr>
        <w:t xml:space="preserve">[System owner]</w:t>
      </w:r>
      <w:r>
        <w:t xml:space="preserve"> </w:t>
      </w:r>
      <w:r>
        <w:t xml:space="preserve">shall physically control</w:t>
      </w:r>
      <w:r>
        <w:t xml:space="preserve"> </w:t>
      </w:r>
      <w:r>
        <w:rPr>
          <w:rStyle w:val="Fill-in"/>
        </w:rPr>
        <w:t xml:space="preserve">[Fill in: types of digital media to be physically controlled. Typical: removable and portable storage media, backup media, and storage removed from service and awaiting sanitization]</w:t>
      </w:r>
      <w:r>
        <w:t xml:space="preserve"> </w:t>
      </w:r>
      <w:r>
        <w:t xml:space="preserve">and</w:t>
      </w:r>
      <w:r>
        <w:t xml:space="preserve"> </w:t>
      </w:r>
      <w:r>
        <w:rPr>
          <w:rStyle w:val="Fill-in"/>
        </w:rPr>
        <w:t xml:space="preserve">[Fill in: types of non-digital media to be physically controlled. Typical: paper and microfilm containing information not approved for public release]</w:t>
      </w:r>
      <w:r>
        <w:t xml:space="preserve">. (MP-4a)</w:t>
      </w:r>
    </w:p>
    <w:p>
      <w:pPr>
        <w:pStyle w:val="Compact"/>
        <w:numPr>
          <w:ilvl w:val="0"/>
          <w:numId w:val="1229"/>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digital media to be securely stored. Typical: removable and portable storage media, backup media, and storage removed from service and awaiting sanitization]</w:t>
      </w:r>
      <w:r>
        <w:t xml:space="preserve"> </w:t>
      </w:r>
      <w:r>
        <w:t xml:space="preserve">within</w:t>
      </w:r>
      <w:r>
        <w:t xml:space="preserve"> </w:t>
      </w:r>
      <w:r>
        <w:rPr>
          <w:rStyle w:val="Fill-in"/>
        </w:rPr>
        <w:t xml:space="preserve">[Fill in: controlled areas within which to securely store digital media. Typical: the data center, the media library, or a locked container in an area with physical access control, with access limited to authorized personnel]</w:t>
      </w:r>
      <w:r>
        <w:t xml:space="preserve">. (MP-4a)</w:t>
      </w:r>
    </w:p>
    <w:p>
      <w:pPr>
        <w:pStyle w:val="Compact"/>
        <w:numPr>
          <w:ilvl w:val="0"/>
          <w:numId w:val="1229"/>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non-digital media to be securely stored. Typical: paper and microfilm containing information not approved for public release]</w:t>
      </w:r>
      <w:r>
        <w:t xml:space="preserve"> </w:t>
      </w:r>
      <w:r>
        <w:t xml:space="preserve">within</w:t>
      </w:r>
      <w:r>
        <w:t xml:space="preserve"> </w:t>
      </w:r>
      <w:r>
        <w:rPr>
          <w:rStyle w:val="Fill-in"/>
        </w:rPr>
        <w:t xml:space="preserve">[Fill in: controlled areas within which to securely store non-digital media. Typical: locked cabinets, drawers or rooms with access limited to authorized personnel]</w:t>
      </w:r>
      <w:r>
        <w:t xml:space="preserve">. (MP-4a)</w:t>
      </w:r>
    </w:p>
    <w:p>
      <w:pPr>
        <w:pStyle w:val="Compact"/>
        <w:numPr>
          <w:ilvl w:val="0"/>
          <w:numId w:val="1229"/>
        </w:numPr>
      </w:pPr>
      <w:r>
        <w:t xml:space="preserve">The</w:t>
      </w:r>
      <w:r>
        <w:t xml:space="preserve"> </w:t>
      </w:r>
      <w:r>
        <w:rPr>
          <w:rStyle w:val="Fill-in"/>
        </w:rPr>
        <w:t xml:space="preserve">[System owner]</w:t>
      </w:r>
      <w:r>
        <w:t xml:space="preserve"> </w:t>
      </w:r>
      <w:r>
        <w:t xml:space="preserve">shall keep an inventory of the digital media in each media library or store, with check-out and return records, and reconcile it at least quarterly. (MP-4a)</w:t>
      </w:r>
    </w:p>
    <w:p>
      <w:pPr>
        <w:pStyle w:val="Compact"/>
        <w:numPr>
          <w:ilvl w:val="0"/>
          <w:numId w:val="1229"/>
        </w:numPr>
      </w:pPr>
      <w:r>
        <w:t xml:space="preserve">Digital media stored outside the data center shall be encrypted as the encryption and key management standard requires for removable media (SC-28(1)). (MP-4a)</w:t>
      </w:r>
    </w:p>
    <w:p>
      <w:pPr>
        <w:pStyle w:val="Compact"/>
        <w:numPr>
          <w:ilvl w:val="0"/>
          <w:numId w:val="1229"/>
        </w:numPr>
      </w:pPr>
      <w:r>
        <w:t xml:space="preserve">The</w:t>
      </w:r>
      <w:r>
        <w:t xml:space="preserve"> </w:t>
      </w:r>
      <w:r>
        <w:rPr>
          <w:rStyle w:val="Fill-in"/>
        </w:rPr>
        <w:t xml:space="preserve">[System owner]</w:t>
      </w:r>
      <w:r>
        <w:t xml:space="preserve"> </w:t>
      </w:r>
      <w:r>
        <w:t xml:space="preserve">shall protect these media until they are destroyed or sanitized using approved equipment, techniques and procedures, keeping media that are awaiting sanitization in the same controlled areas and on the inventory until the sanitization is recorded. (MP-4b)</w:t>
      </w:r>
    </w:p>
    <w:bookmarkStart w:id="307" w:name="federal-systems-17"/>
    <w:p>
      <w:pPr>
        <w:pStyle w:val="Heading5"/>
      </w:pPr>
      <w:r>
        <w:t xml:space="preserve">Federal systems</w:t>
      </w:r>
    </w:p>
    <w:p>
      <w:pPr>
        <w:pStyle w:val="FirstParagraph"/>
      </w:pPr>
      <w:r>
        <w:t xml:space="preserve">Under</w:t>
      </w:r>
      <w:r>
        <w:t xml:space="preserve"> </w:t>
      </w:r>
      <w:hyperlink r:id="rId284">
        <w:r>
          <w:rPr>
            <w:rStyle w:val="Hyperlink"/>
          </w:rPr>
          <w:t xml:space="preserve">32 CFR 2002.14(c)</w:t>
        </w:r>
      </w:hyperlink>
      <w:r>
        <w:t xml:space="preserve">, authorized holders of controlled unclassified information (CUI) must take reasonable precautions against its unauthorized disclosure, including establishing and using controlled environments in which to protect it from unauthorized access or disclosure, and, when it is outside a controlled environment, keeping it under the authorized holder’s direct control or protecting it with at least one physical barrier. As of October 2026.</w:t>
      </w:r>
    </w:p>
    <w:p>
      <w:pPr>
        <w:pStyle w:val="Compact"/>
        <w:numPr>
          <w:ilvl w:val="0"/>
          <w:numId w:val="1230"/>
        </w:numPr>
      </w:pPr>
      <w:r>
        <w:t xml:space="preserve">The</w:t>
      </w:r>
      <w:r>
        <w:t xml:space="preserve"> </w:t>
      </w:r>
      <w:r>
        <w:rPr>
          <w:rStyle w:val="Fill-in"/>
        </w:rPr>
        <w:t xml:space="preserve">[System owner]</w:t>
      </w:r>
      <w:r>
        <w:t xml:space="preserve"> </w:t>
      </w:r>
      <w:r>
        <w:t xml:space="preserve">shall store media containing CUI only in controlled environments that meet 32 CFR 2002.14(c), and shall keep such media under an authorized holder’s direct control, or behind at least one physical barrier such as a locked container, whenever they are outside a controlled environment. (MP-4a)</w:t>
      </w:r>
    </w:p>
    <w:bookmarkEnd w:id="307"/>
    <w:bookmarkEnd w:id="308"/>
    <w:bookmarkStart w:id="310" w:name="media-transport-mp-5"/>
    <w:p>
      <w:pPr>
        <w:pStyle w:val="Heading4"/>
      </w:pPr>
      <w:r>
        <w:t xml:space="preserve">Media transport (MP-5)</w:t>
      </w:r>
    </w:p>
    <w:p>
      <w:pPr>
        <w:pStyle w:val="Guidance"/>
      </w:pPr>
      <w:r>
        <w:t xml:space="preserve">MP-5 is in the Moderate and High baselines. NIST’s MP-5 discussion names cryptography and locked containers as transport protections, and describes accountability as restricting transport to authorized personnel and tracking or obtaining records of the media as they move, to prevent and detect loss, destruction or tampering. Couriers may be external to the organization. Common cases are backup media going to the alternate storage site (CP-6, CP-9), drives going to a destruction provider, and media sent to another organization under an information exchange agreement. Keep the transport records with the system’s records; for drives sent for destruction, record the transport in the</w:t>
      </w:r>
      <w:r>
        <w:t xml:space="preserve"> </w:t>
      </w:r>
      <w:hyperlink r:id="rId278">
        <w:r>
          <w:rPr>
            <w:rStyle w:val="Hyperlink"/>
          </w:rPr>
          <w:t xml:space="preserve">media sanitization record</w:t>
        </w:r>
      </w:hyperlink>
      <w:r>
        <w:t xml:space="preserve">.</w:t>
      </w:r>
    </w:p>
    <w:p>
      <w:pPr>
        <w:pStyle w:val="Compact"/>
        <w:numPr>
          <w:ilvl w:val="0"/>
          <w:numId w:val="1231"/>
        </w:numPr>
      </w:pPr>
      <w:r>
        <w:t xml:space="preserve">The</w:t>
      </w:r>
      <w:r>
        <w:t xml:space="preserve"> </w:t>
      </w:r>
      <w:r>
        <w:rPr>
          <w:rStyle w:val="Fill-in"/>
        </w:rPr>
        <w:t xml:space="preserve">[System owner]</w:t>
      </w:r>
      <w:r>
        <w:t xml:space="preserve"> </w:t>
      </w:r>
      <w:r>
        <w:t xml:space="preserve">shall protect and control</w:t>
      </w:r>
      <w:r>
        <w:t xml:space="preserve"> </w:t>
      </w:r>
      <w:r>
        <w:rPr>
          <w:rStyle w:val="Fill-in"/>
        </w:rPr>
        <w:t xml:space="preserve">[Fill in: types of system media to protect and control during transport outside of controlled areas. Typical: all digital and non-digital media containing information not approved for public release]</w:t>
      </w:r>
      <w:r>
        <w:t xml:space="preserve"> </w:t>
      </w:r>
      <w:r>
        <w:t xml:space="preserve">during transport outside of controlled areas using</w:t>
      </w:r>
      <w:r>
        <w:t xml:space="preserve"> </w:t>
      </w:r>
      <w:r>
        <w:rPr>
          <w:rStyle w:val="Fill-in"/>
        </w:rPr>
        <w:t xml:space="preserve">[Fill in: controls used to protect system media outside of controlled areas. Typical: encryption of digital media under the encryption and key management standard, and sealed, tamper-evident packaging or locked containers]</w:t>
      </w:r>
      <w:r>
        <w:t xml:space="preserve"> </w:t>
      </w:r>
      <w:r>
        <w:t xml:space="preserve">and</w:t>
      </w:r>
      <w:r>
        <w:t xml:space="preserve"> </w:t>
      </w:r>
      <w:r>
        <w:rPr>
          <w:rStyle w:val="Fill-in"/>
        </w:rPr>
        <w:t xml:space="preserve">[Fill in: controls used to control system media outside of controlled areas. Typical: transport only by authorized personnel or by a courier service with tracking and a signature on delivery, and a chain-of-custody record from release to receipt]</w:t>
      </w:r>
      <w:r>
        <w:t xml:space="preserve">. (MP-5a)</w:t>
      </w:r>
    </w:p>
    <w:p>
      <w:pPr>
        <w:pStyle w:val="Compact"/>
        <w:numPr>
          <w:ilvl w:val="0"/>
          <w:numId w:val="1231"/>
        </w:numPr>
      </w:pPr>
      <w:r>
        <w:t xml:space="preserve">Digital media shall be encrypted before they leave a controlled area, as the encryption and key management standard requires for removable media, and the key or password shall not travel with the media. (MP-5a)</w:t>
      </w:r>
    </w:p>
    <w:p>
      <w:pPr>
        <w:pStyle w:val="Compact"/>
        <w:numPr>
          <w:ilvl w:val="0"/>
          <w:numId w:val="1231"/>
        </w:numPr>
      </w:pPr>
      <w:r>
        <w:t xml:space="preserve">The</w:t>
      </w:r>
      <w:r>
        <w:t xml:space="preserve"> </w:t>
      </w:r>
      <w:r>
        <w:rPr>
          <w:rStyle w:val="Fill-in"/>
        </w:rPr>
        <w:t xml:space="preserve">[System owner]</w:t>
      </w:r>
      <w:r>
        <w:t xml:space="preserve"> </w:t>
      </w:r>
      <w:r>
        <w:t xml:space="preserve">shall maintain accountability for system media during transport, so that each item can be traced from its release to its receipt. (MP-5b)</w:t>
      </w:r>
    </w:p>
    <w:p>
      <w:pPr>
        <w:pStyle w:val="Compact"/>
        <w:numPr>
          <w:ilvl w:val="0"/>
          <w:numId w:val="1231"/>
        </w:numPr>
      </w:pPr>
      <w:r>
        <w:t xml:space="preserve">The sender shall confirm receipt of each shipment, and shall report a shipment that does not arrive when expected, or arrives with its packaging opened or damaged, as a security incident under the incident response plan (IR-6). (MP-5b)</w:t>
      </w:r>
    </w:p>
    <w:p>
      <w:pPr>
        <w:pStyle w:val="Compact"/>
        <w:numPr>
          <w:ilvl w:val="0"/>
          <w:numId w:val="1231"/>
        </w:numPr>
      </w:pPr>
      <w:r>
        <w:t xml:space="preserve">The</w:t>
      </w:r>
      <w:r>
        <w:t xml:space="preserve"> </w:t>
      </w:r>
      <w:r>
        <w:rPr>
          <w:rStyle w:val="Fill-in"/>
        </w:rPr>
        <w:t xml:space="preserve">[System owner]</w:t>
      </w:r>
      <w:r>
        <w:t xml:space="preserve"> </w:t>
      </w:r>
      <w:r>
        <w:t xml:space="preserve">shall document each transport of system media: the media and their identifiers, who released them, the carrier, the recipient, the tracking number where there is one, and the dates of release and receipt. (MP-5c)</w:t>
      </w:r>
    </w:p>
    <w:p>
      <w:pPr>
        <w:pStyle w:val="Compact"/>
        <w:numPr>
          <w:ilvl w:val="0"/>
          <w:numId w:val="1231"/>
        </w:numPr>
      </w:pPr>
      <w:r>
        <w:t xml:space="preserve">The</w:t>
      </w:r>
      <w:r>
        <w:t xml:space="preserve"> </w:t>
      </w:r>
      <w:r>
        <w:rPr>
          <w:rStyle w:val="Fill-in"/>
        </w:rPr>
        <w:t xml:space="preserve">[System owner]</w:t>
      </w:r>
      <w:r>
        <w:t xml:space="preserve"> </w:t>
      </w:r>
      <w:r>
        <w:t xml:space="preserve">shall designate the personnel authorized to release, carry and receive system media, and shall use external couriers only under a contract or agreement that requires tracking and a signature on delivery. (MP-5d)</w:t>
      </w:r>
    </w:p>
    <w:bookmarkStart w:id="309" w:name="federal-systems-18"/>
    <w:p>
      <w:pPr>
        <w:pStyle w:val="Heading5"/>
      </w:pPr>
      <w:r>
        <w:t xml:space="preserve">Federal systems</w:t>
      </w:r>
    </w:p>
    <w:p>
      <w:pPr>
        <w:pStyle w:val="FirstParagraph"/>
      </w:pPr>
      <w:r>
        <w:t xml:space="preserve">Under</w:t>
      </w:r>
      <w:r>
        <w:t xml:space="preserve"> </w:t>
      </w:r>
      <w:hyperlink r:id="rId284">
        <w:r>
          <w:rPr>
            <w:rStyle w:val="Hyperlink"/>
          </w:rPr>
          <w:t xml:space="preserve">32 CFR 2002.14(d)</w:t>
        </w:r>
      </w:hyperlink>
      <w:r>
        <w:t xml:space="preserve">, authorized holders sending controlled unclassified information (CUI) may use the United States Postal Service, any commercial delivery service, or interoffice or interagency mail; should use in-transit automated tracking and accountability tools; and must mark packages that contain CUI as 32 CFR Part 2002 and the CUI Executive Agent’s guidance require (see 32 CFR 2002.20). As of October 2026.</w:t>
      </w:r>
    </w:p>
    <w:p>
      <w:pPr>
        <w:pStyle w:val="Compact"/>
        <w:numPr>
          <w:ilvl w:val="0"/>
          <w:numId w:val="1232"/>
        </w:numPr>
      </w:pPr>
      <w:r>
        <w:t xml:space="preserve">When shipping media containing CUI, the</w:t>
      </w:r>
      <w:r>
        <w:t xml:space="preserve"> </w:t>
      </w:r>
      <w:r>
        <w:rPr>
          <w:rStyle w:val="Fill-in"/>
        </w:rPr>
        <w:t xml:space="preserve">[System owner]</w:t>
      </w:r>
      <w:r>
        <w:t xml:space="preserve"> </w:t>
      </w:r>
      <w:r>
        <w:t xml:space="preserve">shall use the United States Postal Service, a commercial delivery service, or interoffice or interagency mail, with in-transit automated tracking, and shall mark the packages as 32 CFR 2002.14(d) and 2002.20 require. (MP-5a)</w:t>
      </w:r>
    </w:p>
    <w:bookmarkEnd w:id="309"/>
    <w:bookmarkEnd w:id="310"/>
    <w:bookmarkStart w:id="313" w:name="media-sanitization-mp-6"/>
    <w:p>
      <w:pPr>
        <w:pStyle w:val="Heading4"/>
      </w:pPr>
      <w:r>
        <w:t xml:space="preserve">Media sanitization (MP-6)</w:t>
      </w:r>
    </w:p>
    <w:p>
      <w:pPr>
        <w:pStyle w:val="Guidance"/>
      </w:pPr>
      <w:r>
        <w:t xml:space="preserve">NIST’s MP-6 discussion applies sanitization to all digital and non-digital media subject to disposal or reuse, removable or not, and names the storage in scanners, copiers, printers, notebook computers, workstations, network components and mobile devices.</w:t>
      </w:r>
      <w:r>
        <w:t xml:space="preserve"> </w:t>
      </w:r>
      <w:hyperlink r:id="rId277">
        <w:r>
          <w:rPr>
            <w:rStyle w:val="Hyperlink"/>
          </w:rPr>
          <w:t xml:space="preserve">NIST SP 800-88 Rev. 2</w:t>
        </w:r>
      </w:hyperlink>
      <w:r>
        <w:t xml:space="preserve">, Guidelines for Media Sanitization (September 2025, final; as of October 2026), defines three methods: clear (logical techniques against simple, non-invasive recovery), purge (recovery infeasible with state-of-the-art laboratory techniques, media possibly reusable) and destroy (recovery infeasible and the media unusable). It says purge should be used instead of clear when possible, and that the decision rests on the confidentiality of the information rather than the type of media; it points to the IEEE 2883 series for technique by media type. For cloud and other virtual storage, it notes that cryptographic erase may be the only purge option. It also advises against shredding or pulverizing storage devices for anything but the lowest security categories, since denser, harder media can survive them; paper can be shredded.</w:t>
      </w:r>
    </w:p>
    <w:p>
      <w:pPr>
        <w:pStyle w:val="Guidance"/>
      </w:pPr>
      <w:r>
        <w:t xml:space="preserve">The media sanitization procedure named below is the organization’s: a table of the media types in use with the method, technique, tool and verification for each, which the</w:t>
      </w:r>
      <w:r>
        <w:t xml:space="preserve"> </w:t>
      </w:r>
      <w:hyperlink r:id="rId278">
        <w:r>
          <w:rPr>
            <w:rStyle w:val="Hyperlink"/>
          </w:rPr>
          <w:t xml:space="preserve">media sanitization record</w:t>
        </w:r>
      </w:hyperlink>
      <w:r>
        <w:t xml:space="preserve"> </w:t>
      </w:r>
      <w:r>
        <w:t xml:space="preserve">provides. SP 800-88 Rev. 2 section 4.6 recommends a certificate of sanitization for each item, and the record’s register holds those details. Keep the values consistent with the</w:t>
      </w:r>
      <w:r>
        <w:t xml:space="preserve"> </w:t>
      </w:r>
      <w:hyperlink r:id="rId311">
        <w:r>
          <w:rPr>
            <w:rStyle w:val="Hyperlink"/>
          </w:rPr>
          <w:t xml:space="preserve">Maintenance policy</w:t>
        </w:r>
      </w:hyperlink>
      <w:r>
        <w:t xml:space="preserve">: equipment leaving for repair is sanitized first (MA-2d), and media that cannot be sanitized, such as a failed drive, stay with the organization.</w:t>
      </w:r>
    </w:p>
    <w:p>
      <w:pPr>
        <w:pStyle w:val="Compact"/>
        <w:numPr>
          <w:ilvl w:val="0"/>
          <w:numId w:val="123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23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23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233"/>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233"/>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233"/>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233"/>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233"/>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233"/>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233"/>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233"/>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233"/>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312" w:name="federal-systems-19"/>
    <w:p>
      <w:pPr>
        <w:pStyle w:val="Heading5"/>
      </w:pPr>
      <w:r>
        <w:t xml:space="preserve">Federal systems</w:t>
      </w:r>
    </w:p>
    <w:p>
      <w:pPr>
        <w:pStyle w:val="FirstParagraph"/>
      </w:pPr>
      <w:r>
        <w:t xml:space="preserve">Under</w:t>
      </w:r>
      <w:r>
        <w:t xml:space="preserve"> </w:t>
      </w:r>
      <w:hyperlink r:id="rId284">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277">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234"/>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234"/>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234"/>
        </w:numPr>
      </w:pPr>
      <w:r>
        <w:t xml:space="preserve">Cryptographic erase shall rely only on encryption modules validated to the current FIPS 140 standard. (MP-6b)</w:t>
      </w:r>
    </w:p>
    <w:bookmarkEnd w:id="312"/>
    <w:bookmarkEnd w:id="313"/>
    <w:bookmarkStart w:id="314" w:name="Xa6a79656e993c0467cf8c257ffe8b36cbbb724f"/>
    <w:p>
      <w:pPr>
        <w:pStyle w:val="Heading4"/>
      </w:pPr>
      <w:r>
        <w:t xml:space="preserve">Review, approve, track, document and verify (MP-6(1))</w:t>
      </w:r>
    </w:p>
    <w:p>
      <w:pPr>
        <w:pStyle w:val="Guidance"/>
      </w:pPr>
      <w:r>
        <w:t xml:space="preserve">MP-6(1) is in the High baseline. NIST’s discussion of this enhancement has organizations review and approve media for sanitization to ensure compliance with records retention policies, and lists what to document: who reviewed and approved the action, the types of media, the files stored on them, the method, the date and time, who sanitized them, the verification and who did it, and the disposal action.</w:t>
      </w:r>
      <w:r>
        <w:t xml:space="preserve"> </w:t>
      </w:r>
      <w:hyperlink r:id="rId277">
        <w:r>
          <w:rPr>
            <w:rStyle w:val="Hyperlink"/>
          </w:rPr>
          <w:t xml:space="preserve">NIST SP 800-88 Rev. 2</w:t>
        </w:r>
      </w:hyperlink>
      <w:r>
        <w:t xml:space="preserve"> </w:t>
      </w:r>
      <w:r>
        <w:t xml:space="preserve">section 4.5 separates verification (checking the technique completed, by inspecting destruction remnants or the tool’s completion status) from validation (deciding whether the result is acceptable, or repeating with a different technique or a stronger method). The</w:t>
      </w:r>
      <w:r>
        <w:t xml:space="preserve"> </w:t>
      </w:r>
      <w:hyperlink r:id="rId278">
        <w:r>
          <w:rPr>
            <w:rStyle w:val="Hyperlink"/>
          </w:rPr>
          <w:t xml:space="preserve">media sanitization record</w:t>
        </w:r>
      </w:hyperlink>
      <w:r>
        <w:t xml:space="preserve"> </w:t>
      </w:r>
      <w:r>
        <w:t xml:space="preserve">holds every field.</w:t>
      </w:r>
    </w:p>
    <w:p>
      <w:pPr>
        <w:pStyle w:val="Compact"/>
        <w:numPr>
          <w:ilvl w:val="0"/>
          <w:numId w:val="1235"/>
        </w:numPr>
      </w:pPr>
      <w:r>
        <w:t xml:space="preserve">The</w:t>
      </w:r>
      <w:r>
        <w:t xml:space="preserve"> </w:t>
      </w:r>
      <w:r>
        <w:rPr>
          <w:rStyle w:val="Fill-in"/>
        </w:rPr>
        <w:t xml:space="preserve">[System owner]</w:t>
      </w:r>
      <w:r>
        <w:t xml:space="preserve"> </w:t>
      </w:r>
      <w:r>
        <w:t xml:space="preserve">shall review and approve each media sanitization and disposal action before it is performed, confirming that records retention requirements are met. (MP-6(1))</w:t>
      </w:r>
    </w:p>
    <w:p>
      <w:pPr>
        <w:pStyle w:val="Compact"/>
        <w:numPr>
          <w:ilvl w:val="0"/>
          <w:numId w:val="1235"/>
        </w:numPr>
      </w:pPr>
      <w:r>
        <w:t xml:space="preserve">The</w:t>
      </w:r>
      <w:r>
        <w:t xml:space="preserve"> </w:t>
      </w:r>
      <w:r>
        <w:rPr>
          <w:rStyle w:val="Fill-in"/>
        </w:rPr>
        <w:t xml:space="preserve">[System owner]</w:t>
      </w:r>
      <w:r>
        <w:t xml:space="preserve"> </w:t>
      </w:r>
      <w:r>
        <w:t xml:space="preserve">shall track each item of media from its removal from service to its final disposition, so that every item removed has a recorded outcome. (MP-6(1))</w:t>
      </w:r>
    </w:p>
    <w:p>
      <w:pPr>
        <w:pStyle w:val="Compact"/>
        <w:numPr>
          <w:ilvl w:val="0"/>
          <w:numId w:val="1235"/>
        </w:numPr>
      </w:pPr>
      <w:r>
        <w:t xml:space="preserve">The</w:t>
      </w:r>
      <w:r>
        <w:t xml:space="preserve"> </w:t>
      </w:r>
      <w:r>
        <w:rPr>
          <w:rStyle w:val="Fill-in"/>
        </w:rPr>
        <w:t xml:space="preserve">[System owner]</w:t>
      </w:r>
      <w:r>
        <w:t xml:space="preserve"> </w:t>
      </w:r>
      <w:r>
        <w:t xml:space="preserve">shall document each media sanitization and disposal action in the media sanitization record, including who reviewed and approved it, the type of media, the files or information stored on them, the sanitization method, the date and time, who performed it, the verification and who performed it, and the disposal action taken. (MP-6(1))</w:t>
      </w:r>
    </w:p>
    <w:p>
      <w:pPr>
        <w:pStyle w:val="Compact"/>
        <w:numPr>
          <w:ilvl w:val="0"/>
          <w:numId w:val="1235"/>
        </w:numPr>
      </w:pPr>
      <w:r>
        <w:t xml:space="preserve">The</w:t>
      </w:r>
      <w:r>
        <w:t xml:space="preserve"> </w:t>
      </w:r>
      <w:r>
        <w:rPr>
          <w:rStyle w:val="Fill-in"/>
        </w:rPr>
        <w:t xml:space="preserve">[System owner]</w:t>
      </w:r>
      <w:r>
        <w:t xml:space="preserve"> </w:t>
      </w:r>
      <w:r>
        <w:t xml:space="preserve">shall verify that the sanitization was effective before the media are disposed of; a result that is not accepted shall be repeated with a different technique or a stronger method. (MP-6(1))</w:t>
      </w:r>
    </w:p>
    <w:bookmarkEnd w:id="314"/>
    <w:bookmarkStart w:id="315" w:name="equipment-testing-mp-62"/>
    <w:p>
      <w:pPr>
        <w:pStyle w:val="Heading4"/>
      </w:pPr>
      <w:r>
        <w:t xml:space="preserve">Equipment testing (MP-6(2))</w:t>
      </w:r>
    </w:p>
    <w:p>
      <w:pPr>
        <w:pStyle w:val="Guidance"/>
      </w:pPr>
      <w:r>
        <w:t xml:space="preserve">MP-6(2) is in the High baseline. NIST’s discussion of this enhancement allows the testing to be done by qualified and authorized external entities, including federal agencies or external service providers. A test shows the intended sanitization is achieved: a degausser’s field strength checked against the coercivity of the media it is used on, a shredder’s output checked against the particle size the procedure sets, and a sample of cleared or purged media read back with a forensic tool.</w:t>
      </w:r>
      <w:r>
        <w:t xml:space="preserve"> </w:t>
      </w:r>
      <w:hyperlink r:id="rId277">
        <w:r>
          <w:rPr>
            <w:rStyle w:val="Hyperlink"/>
          </w:rPr>
          <w:t xml:space="preserve">NIST SP 800-88 Rev. 2</w:t>
        </w:r>
      </w:hyperlink>
      <w:r>
        <w:t xml:space="preserve"> </w:t>
      </w:r>
      <w:r>
        <w:t xml:space="preserve">section 4.5.2 lists improperly calibrated equipment among the reasons a sanitization may not be effective. Record the tests in the</w:t>
      </w:r>
      <w:r>
        <w:t xml:space="preserve"> </w:t>
      </w:r>
      <w:hyperlink r:id="rId278">
        <w:r>
          <w:rPr>
            <w:rStyle w:val="Hyperlink"/>
          </w:rPr>
          <w:t xml:space="preserve">media sanitization record</w:t>
        </w:r>
      </w:hyperlink>
      <w:r>
        <w:t xml:space="preserve">.</w:t>
      </w:r>
    </w:p>
    <w:p>
      <w:pPr>
        <w:pStyle w:val="Compact"/>
        <w:numPr>
          <w:ilvl w:val="0"/>
          <w:numId w:val="1236"/>
        </w:numPr>
      </w:pPr>
      <w:r>
        <w:t xml:space="preserve">The</w:t>
      </w:r>
      <w:r>
        <w:t xml:space="preserve"> </w:t>
      </w:r>
      <w:r>
        <w:rPr>
          <w:rStyle w:val="Fill-in"/>
        </w:rPr>
        <w:t xml:space="preserve">[System owner]</w:t>
      </w:r>
      <w:r>
        <w:t xml:space="preserve"> </w:t>
      </w:r>
      <w:r>
        <w:t xml:space="preserve">shall test sanitization equipment</w:t>
      </w:r>
      <w:r>
        <w:t xml:space="preserve"> </w:t>
      </w:r>
      <w:r>
        <w:rPr>
          <w:rStyle w:val="Fill-in"/>
        </w:rPr>
        <w:t xml:space="preserve">[Fill in: frequency with which to test sanitization equipment. Typical: at least annually, and after the equipment is repaired, relocated or updated]</w:t>
      </w:r>
      <w:r>
        <w:t xml:space="preserve"> </w:t>
      </w:r>
      <w:r>
        <w:t xml:space="preserve">to ensure that the intended sanitization is being achieved. (MP-6(2))</w:t>
      </w:r>
    </w:p>
    <w:p>
      <w:pPr>
        <w:pStyle w:val="Compact"/>
        <w:numPr>
          <w:ilvl w:val="0"/>
          <w:numId w:val="1236"/>
        </w:numPr>
      </w:pPr>
      <w:r>
        <w:t xml:space="preserve">The</w:t>
      </w:r>
      <w:r>
        <w:t xml:space="preserve"> </w:t>
      </w:r>
      <w:r>
        <w:rPr>
          <w:rStyle w:val="Fill-in"/>
        </w:rPr>
        <w:t xml:space="preserve">[System owner]</w:t>
      </w:r>
      <w:r>
        <w:t xml:space="preserve"> </w:t>
      </w:r>
      <w:r>
        <w:t xml:space="preserve">shall test sanitization procedures</w:t>
      </w:r>
      <w:r>
        <w:t xml:space="preserve"> </w:t>
      </w:r>
      <w:r>
        <w:rPr>
          <w:rStyle w:val="Fill-in"/>
        </w:rPr>
        <w:t xml:space="preserve">[Fill in: frequency with which to test sanitization procedures. Typical: at least annually, and when a new media type, tool or sanitization provider is introduced]</w:t>
      </w:r>
      <w:r>
        <w:t xml:space="preserve"> </w:t>
      </w:r>
      <w:r>
        <w:t xml:space="preserve">to ensure that the intended sanitization is being achieved. (MP-6(2))</w:t>
      </w:r>
    </w:p>
    <w:p>
      <w:pPr>
        <w:pStyle w:val="Compact"/>
        <w:numPr>
          <w:ilvl w:val="0"/>
          <w:numId w:val="1236"/>
        </w:numPr>
      </w:pPr>
      <w:r>
        <w:t xml:space="preserve">Equipment that fails a test shall not be used until it is repaired and passes a new test, and media sanitized with it since its last passing test shall be sanitized again. (MP-6(2))</w:t>
      </w:r>
    </w:p>
    <w:p>
      <w:pPr>
        <w:pStyle w:val="Compact"/>
        <w:numPr>
          <w:ilvl w:val="0"/>
          <w:numId w:val="1236"/>
        </w:numPr>
      </w:pPr>
      <w:r>
        <w:t xml:space="preserve">Where an external provider performs sanitization, the contract shall require the provider to test its equipment and procedures at least as often, and to provide the results. (MP-6(2))</w:t>
      </w:r>
    </w:p>
    <w:bookmarkEnd w:id="315"/>
    <w:bookmarkStart w:id="316" w:name="nondestructive-techniques-mp-63"/>
    <w:p>
      <w:pPr>
        <w:pStyle w:val="Heading4"/>
      </w:pPr>
      <w:r>
        <w:t xml:space="preserve">Nondestructive techniques (MP-6(3))</w:t>
      </w:r>
    </w:p>
    <w:p>
      <w:pPr>
        <w:pStyle w:val="Guidance"/>
      </w:pPr>
      <w:r>
        <w:t xml:space="preserve">MP-6(3) is in the High baseline. NIST’s discussion of this enhancement explains that portable storage devices from untrustworthy sources can carry malicious code, and that sanitization gives more assurance than scanning alone. It names the two circumstances in the typical value: devices bought from manufacturers or vendors before first use, and devices whose positive chain of custody the organization cannot maintain. A nondestructive technique, such as clear or purge, leaves the device usable.</w:t>
      </w:r>
    </w:p>
    <w:p>
      <w:pPr>
        <w:pStyle w:val="Compact"/>
        <w:numPr>
          <w:ilvl w:val="0"/>
          <w:numId w:val="1237"/>
        </w:numPr>
      </w:pPr>
      <w:r>
        <w:t xml:space="preserve">The</w:t>
      </w:r>
      <w:r>
        <w:t xml:space="preserve"> </w:t>
      </w:r>
      <w:r>
        <w:rPr>
          <w:rStyle w:val="Fill-in"/>
        </w:rPr>
        <w:t xml:space="preserve">[System owner]</w:t>
      </w:r>
      <w:r>
        <w:t xml:space="preserve"> </w:t>
      </w:r>
      <w:r>
        <w:t xml:space="preserve">shall apply nondestructive sanitization techniques to portable storage devices prior to connecting them to the system under the following circumstances:</w:t>
      </w:r>
      <w:r>
        <w:t xml:space="preserve"> </w:t>
      </w:r>
      <w:r>
        <w:rPr>
          <w:rStyle w:val="Fill-in"/>
        </w:rPr>
        <w:t xml:space="preserve">[Fill in: circumstances requiring sanitization of portable storage devices. Typical: before first use of a device newly purchased or received from outside the organization, and whenever the organization cannot maintain a positive chain of custody for the device]</w:t>
      </w:r>
      <w:r>
        <w:t xml:space="preserve">. (MP-6(3))</w:t>
      </w:r>
    </w:p>
    <w:p>
      <w:pPr>
        <w:pStyle w:val="Compact"/>
        <w:numPr>
          <w:ilvl w:val="0"/>
          <w:numId w:val="1237"/>
        </w:numPr>
      </w:pPr>
      <w:r>
        <w:t xml:space="preserve">Portable storage devices shall also be scanned for malicious code before they are connected to the system (SI-3). (MP-6(3))</w:t>
      </w:r>
    </w:p>
    <w:bookmarkEnd w:id="316"/>
    <w:bookmarkStart w:id="318" w:name="media-use-mp-7"/>
    <w:p>
      <w:pPr>
        <w:pStyle w:val="Heading4"/>
      </w:pPr>
      <w:r>
        <w:t xml:space="preserve">Media use (MP-7)</w:t>
      </w:r>
    </w:p>
    <w:p>
      <w:pPr>
        <w:pStyle w:val="Guidance"/>
      </w:pPr>
      <w:r>
        <w:t xml:space="preserve">NIST’s MP-7 discussion contrasts it with MP-2: MP-2 restricts who may access media, while MP-7 restricts which media may be used on systems. It lists the usual technical controls: disabling ports or the ability to read or write to devices, limiting use to approved, organization-provided devices that are not personally owned, and blocking writes to portable devices. Requiring an identifiable owner, MP-7b, lets the organization assign responsibility for a device’s known vulnerabilities. The typical values match the</w:t>
      </w:r>
      <w:r>
        <w:t xml:space="preserve"> </w:t>
      </w:r>
      <w:hyperlink r:id="rId317">
        <w:r>
          <w:rPr>
            <w:rStyle w:val="Hyperlink"/>
          </w:rPr>
          <w:t xml:space="preserve">Access Control Policy</w:t>
        </w:r>
      </w:hyperlink>
      <w:r>
        <w:t xml:space="preserve">, which allows only encrypted, organization-issued devices on external systems (AC-20(2)), and the encryption and key management standard, which requires encryption of removable media (SC-28(1)). Choose</w:t>
      </w:r>
      <w:r>
        <w:t xml:space="preserve"> </w:t>
      </w:r>
      <w:r>
        <w:t xml:space="preserve">“prohibit”</w:t>
      </w:r>
      <w:r>
        <w:t xml:space="preserve"> </w:t>
      </w:r>
      <w:r>
        <w:t xml:space="preserve">for systems whose risk does not justify any portable storage.</w:t>
      </w:r>
    </w:p>
    <w:p>
      <w:pPr>
        <w:pStyle w:val="Compact"/>
        <w:numPr>
          <w:ilvl w:val="0"/>
          <w:numId w:val="1238"/>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238"/>
        </w:numPr>
      </w:pPr>
      <w:r>
        <w:t xml:space="preserve">Personally owned portable storage devices shall not be connected to organizational systems. (MP-7a)</w:t>
      </w:r>
    </w:p>
    <w:p>
      <w:pPr>
        <w:pStyle w:val="Compact"/>
        <w:numPr>
          <w:ilvl w:val="0"/>
          <w:numId w:val="1238"/>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238"/>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318"/>
    <w:bookmarkEnd w:id="319"/>
    <w:bookmarkStart w:id="355" w:name="physical-and-environmental-protection-pe"/>
    <w:p>
      <w:pPr>
        <w:pStyle w:val="Heading3"/>
      </w:pPr>
      <w:r>
        <w:t xml:space="preserve">Physical and Environmental Protection (PE)</w:t>
      </w:r>
    </w:p>
    <w:bookmarkStart w:id="321" w:name="physical-access-authorizations-pe-2"/>
    <w:p>
      <w:pPr>
        <w:pStyle w:val="Heading4"/>
      </w:pPr>
      <w:r>
        <w:t xml:space="preserve">Physical access authorizations (PE-2)</w:t>
      </w:r>
    </w:p>
    <w:p>
      <w:pPr>
        <w:pStyle w:val="Guidance"/>
      </w:pPr>
      <w:r>
        <w:t xml:space="preserve">PE-2 covers who may enter the facility where the system resides; PE-3 enforces it at the doors. NIST’s PE-2 discussion says physical access authorizations apply to employees and visitors, that people with permanent credentials are not visitors, and that credentials include ID badges, identification cards and smart cards, with their strength set by applicable laws and policies. Areas designated as publicly accessible may not need an authorization. The</w:t>
      </w:r>
      <w:r>
        <w:t xml:space="preserve"> </w:t>
      </w:r>
      <w:hyperlink r:id="rId294">
        <w:r>
          <w:rPr>
            <w:rStyle w:val="Hyperlink"/>
          </w:rPr>
          <w:t xml:space="preserve">physical access list</w:t>
        </w:r>
      </w:hyperlink>
      <w:r>
        <w:t xml:space="preserve"> </w:t>
      </w:r>
      <w:r>
        <w:t xml:space="preserve">holds the list, the credential issued, the approval and each review. Where the system runs entirely in a cloud service or a provider’s data center, the provider meets PE-2 for its facility and the system security plan records it as inherited; the organization still applies PE-2 to its own offices and any rooms that hold its equipment. Assessors compare the list with recent departures and transfers, so tie removals to the</w:t>
      </w:r>
      <w:r>
        <w:t xml:space="preserve"> </w:t>
      </w:r>
      <w:hyperlink r:id="rId20">
        <w:r>
          <w:rPr>
            <w:rStyle w:val="Hyperlink"/>
          </w:rPr>
          <w:t xml:space="preserve">onboarding, transfer and termination checklist</w:t>
        </w:r>
      </w:hyperlink>
      <w:r>
        <w:t xml:space="preserve">.</w:t>
      </w:r>
    </w:p>
    <w:p>
      <w:pPr>
        <w:pStyle w:val="Compact"/>
        <w:numPr>
          <w:ilvl w:val="0"/>
          <w:numId w:val="1239"/>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239"/>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239"/>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239"/>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239"/>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239"/>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320" w:name="federal-systems-20"/>
    <w:p>
      <w:pPr>
        <w:pStyle w:val="Heading5"/>
      </w:pPr>
      <w:r>
        <w:t xml:space="preserve">Federal systems</w:t>
      </w:r>
    </w:p>
    <w:p>
      <w:pPr>
        <w:pStyle w:val="FirstParagraph"/>
      </w:pPr>
      <w:hyperlink r:id="rId231">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240"/>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240"/>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320"/>
    <w:bookmarkEnd w:id="321"/>
    <w:bookmarkStart w:id="325" w:name="physical-access-control-pe-3"/>
    <w:p>
      <w:pPr>
        <w:pStyle w:val="Heading4"/>
      </w:pPr>
      <w:r>
        <w:t xml:space="preserve">Physical access control (PE-3)</w:t>
      </w:r>
    </w:p>
    <w:p>
      <w:pPr>
        <w:pStyle w:val="Guidance"/>
      </w:pPr>
      <w:r>
        <w:t xml:space="preserve">PE-3 enforces the authorizations PE-2 grants. NIST’s PE-3 discussion says physical access control applies to employees and visitors; that controls for publicly accessible areas may include logs, guards, or devices and barriers that stop movement from public to non-public areas; that physical access devices include keys, locks, combinations, biometric readers and card readers; and that audit logs can be procedural, automated or both. Access points can be the facility’s doors, interior doors to areas that need extra control, or both. Escorts here match the maintenance escorts in the Maintenance Policy (MA-5), and the</w:t>
      </w:r>
      <w:r>
        <w:t xml:space="preserve"> </w:t>
      </w:r>
      <w:hyperlink r:id="rId295">
        <w:r>
          <w:rPr>
            <w:rStyle w:val="Hyperlink"/>
          </w:rPr>
          <w:t xml:space="preserve">visitor log</w:t>
        </w:r>
      </w:hyperlink>
      <w:r>
        <w:t xml:space="preserve"> </w:t>
      </w:r>
      <w:r>
        <w:t xml:space="preserve">records who escorted each visitor. The</w:t>
      </w:r>
      <w:r>
        <w:t xml:space="preserve"> </w:t>
      </w:r>
      <w:hyperlink r:id="rId294">
        <w:r>
          <w:rPr>
            <w:rStyle w:val="Hyperlink"/>
          </w:rPr>
          <w:t xml:space="preserve">physical access list</w:t>
        </w:r>
      </w:hyperlink>
      <w:r>
        <w:t xml:space="preserve"> </w:t>
      </w:r>
      <w:r>
        <w:t xml:space="preserve">holds the inventory of keys, combinations and badges. For a system hosted in a cloud service or colocation data center, the provider’s controls are inherited for its facility, and the system security plan says so; PE-3 still applies to the organization’s own offices and equipment rooms.</w:t>
      </w:r>
    </w:p>
    <w:p>
      <w:pPr>
        <w:pStyle w:val="Compact"/>
        <w:numPr>
          <w:ilvl w:val="0"/>
          <w:numId w:val="1241"/>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241"/>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241"/>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241"/>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241"/>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241"/>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241"/>
        </w:numPr>
      </w:pPr>
      <w:r>
        <w:t xml:space="preserve">Visitor and temporary badges shall look different from permanent badges, shall be valid only for the day or the approved period, and shall be returned on departure. (PE-3d)</w:t>
      </w:r>
    </w:p>
    <w:p>
      <w:pPr>
        <w:pStyle w:val="Compact"/>
        <w:numPr>
          <w:ilvl w:val="0"/>
          <w:numId w:val="1241"/>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241"/>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241"/>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241"/>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324" w:name="federal-systems-21"/>
    <w:p>
      <w:pPr>
        <w:pStyle w:val="Heading5"/>
      </w:pPr>
      <w:r>
        <w:t xml:space="preserve">Federal systems</w:t>
      </w:r>
    </w:p>
    <w:p>
      <w:pPr>
        <w:pStyle w:val="FirstParagraph"/>
      </w:pPr>
      <w:hyperlink r:id="rId231">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322">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323">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242"/>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242"/>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324"/>
    <w:bookmarkEnd w:id="325"/>
    <w:bookmarkStart w:id="326" w:name="system-access-pe-31"/>
    <w:p>
      <w:pPr>
        <w:pStyle w:val="Heading4"/>
      </w:pPr>
      <w:r>
        <w:t xml:space="preserve">System access (PE-3(1))</w:t>
      </w:r>
    </w:p>
    <w:p>
      <w:pPr>
        <w:pStyle w:val="Guidance"/>
      </w:pPr>
      <w:r>
        <w:t xml:space="preserve">PE-3(1) is in the High baseline. NIST’s discussion of this enhancement says controlling physical access to the system adds protection for areas within facilities where system components are concentrated. In practice it is a second, separately authorized door: a badge that opens the building does not open the server room. Record those areas and who may enter them in the</w:t>
      </w:r>
      <w:r>
        <w:t xml:space="preserve"> </w:t>
      </w:r>
      <w:hyperlink r:id="rId294">
        <w:r>
          <w:rPr>
            <w:rStyle w:val="Hyperlink"/>
          </w:rPr>
          <w:t xml:space="preserve">physical access list</w:t>
        </w:r>
      </w:hyperlink>
      <w:r>
        <w:t xml:space="preserve">.</w:t>
      </w:r>
    </w:p>
    <w:p>
      <w:pPr>
        <w:pStyle w:val="Compact"/>
        <w:numPr>
          <w:ilvl w:val="0"/>
          <w:numId w:val="1243"/>
        </w:numPr>
      </w:pPr>
      <w:r>
        <w:t xml:space="preserve">The</w:t>
      </w:r>
      <w:r>
        <w:t xml:space="preserve"> </w:t>
      </w:r>
      <w:r>
        <w:rPr>
          <w:rStyle w:val="Fill-in"/>
        </w:rPr>
        <w:t xml:space="preserve">[Facilities manager]</w:t>
      </w:r>
      <w:r>
        <w:t xml:space="preserve"> </w:t>
      </w:r>
      <w:r>
        <w:t xml:space="preserve">shall enforce physical access authorizations to the system, in addition to the physical access controls for the facility, at</w:t>
      </w:r>
      <w:r>
        <w:t xml:space="preserve"> </w:t>
      </w:r>
      <w:r>
        <w:rPr>
          <w:rStyle w:val="Fill-in"/>
        </w:rPr>
        <w:t xml:space="preserve">[Fill in: physical spaces containing one or more components of the system. Typical: data centers, server rooms, wiring closets and media storage areas that contain components of the system]</w:t>
      </w:r>
      <w:r>
        <w:t xml:space="preserve">. (PE-3(1))</w:t>
      </w:r>
    </w:p>
    <w:p>
      <w:pPr>
        <w:pStyle w:val="Compact"/>
        <w:numPr>
          <w:ilvl w:val="0"/>
          <w:numId w:val="1243"/>
        </w:numPr>
      </w:pPr>
      <w:r>
        <w:t xml:space="preserve">Access to those spaces shall be authorized separately from facility access, approved by the</w:t>
      </w:r>
      <w:r>
        <w:t xml:space="preserve"> </w:t>
      </w:r>
      <w:r>
        <w:rPr>
          <w:rStyle w:val="Fill-in"/>
        </w:rPr>
        <w:t xml:space="preserve">[System owner]</w:t>
      </w:r>
      <w:r>
        <w:t xml:space="preserve">, and limited to individuals whose duties require it. (PE-3(1))</w:t>
      </w:r>
    </w:p>
    <w:bookmarkEnd w:id="326"/>
    <w:bookmarkStart w:id="327" w:name="access-control-for-transmission-pe-4"/>
    <w:p>
      <w:pPr>
        <w:pStyle w:val="Heading4"/>
      </w:pPr>
      <w:r>
        <w:t xml:space="preserve">Access control for transmission (PE-4)</w:t>
      </w:r>
    </w:p>
    <w:p>
      <w:pPr>
        <w:pStyle w:val="Guidance"/>
      </w:pPr>
      <w:r>
        <w:t xml:space="preserve">PE-4 is in the Moderate and High baselines. NIST’s PE-4 discussion says these controls prevent accidental damage, disruption and physical tampering, and may also be needed to prevent eavesdropping on or modification of unencrypted transmissions; it lists disconnected or locked spare jacks, locked wiring closets, cabling in conduit or cable trays, and wiretapping sensors. Encryption in transit (SC-8) reduces the eavesdropping risk but not damage or disruption, so PE-4 still applies. In shared buildings, the landlord’s riser and telecommunications rooms are often outside the organization’s control; record who controls them and what the lease or agreement requires.</w:t>
      </w:r>
    </w:p>
    <w:p>
      <w:pPr>
        <w:pStyle w:val="Compact"/>
        <w:numPr>
          <w:ilvl w:val="0"/>
          <w:numId w:val="1244"/>
        </w:numPr>
      </w:pPr>
      <w:r>
        <w:t xml:space="preserve">The</w:t>
      </w:r>
      <w:r>
        <w:t xml:space="preserve"> </w:t>
      </w:r>
      <w:r>
        <w:rPr>
          <w:rStyle w:val="Fill-in"/>
        </w:rPr>
        <w:t xml:space="preserve">[Facilities manager]</w:t>
      </w:r>
      <w:r>
        <w:t xml:space="preserve"> </w:t>
      </w:r>
      <w:r>
        <w:t xml:space="preserve">shall control physical access to</w:t>
      </w:r>
      <w:r>
        <w:t xml:space="preserve"> </w:t>
      </w:r>
      <w:r>
        <w:rPr>
          <w:rStyle w:val="Fill-in"/>
        </w:rPr>
        <w:t xml:space="preserve">[Fill in: system distribution and transmission lines requiring physical access controls. Typical: the network and telephone cabling, fiber, patch panels and wireless access points that carry the system’s communications, and the wiring closets and cable runs that hold them]</w:t>
      </w:r>
      <w:r>
        <w:t xml:space="preserve"> </w:t>
      </w:r>
      <w:r>
        <w:t xml:space="preserve">within organizational facilities using</w:t>
      </w:r>
      <w:r>
        <w:t xml:space="preserve"> </w:t>
      </w:r>
      <w:r>
        <w:rPr>
          <w:rStyle w:val="Fill-in"/>
        </w:rPr>
        <w:t xml:space="preserve">[Fill in: security controls to be implemented to control physical access to system distribution and transmission lines within the organizational facility. Typical: locked wiring closets and telecommunications rooms with access limited to authorized staff, cabling in conduit or enclosed cable trays where it passes through public or shared areas, and unused network jacks disconnected at the patch panel or disabled on the switch]</w:t>
      </w:r>
      <w:r>
        <w:t xml:space="preserve">. (PE-4)</w:t>
      </w:r>
    </w:p>
    <w:p>
      <w:pPr>
        <w:pStyle w:val="Compact"/>
        <w:numPr>
          <w:ilvl w:val="0"/>
          <w:numId w:val="1244"/>
        </w:numPr>
      </w:pPr>
      <w:r>
        <w:t xml:space="preserve">The</w:t>
      </w:r>
      <w:r>
        <w:t xml:space="preserve"> </w:t>
      </w:r>
      <w:r>
        <w:rPr>
          <w:rStyle w:val="Fill-in"/>
        </w:rPr>
        <w:t xml:space="preserve">[System owner]</w:t>
      </w:r>
      <w:r>
        <w:t xml:space="preserve"> </w:t>
      </w:r>
      <w:r>
        <w:t xml:space="preserve">shall identify, in the system security plan, the distribution and transmission lines that serve the system and who controls the spaces they pass through, including spaces controlled by a landlord or provider. (PE-4)</w:t>
      </w:r>
    </w:p>
    <w:p>
      <w:pPr>
        <w:pStyle w:val="Compact"/>
        <w:numPr>
          <w:ilvl w:val="0"/>
          <w:numId w:val="1244"/>
        </w:numPr>
      </w:pPr>
      <w:r>
        <w:t xml:space="preserve">Wiring closets and telecommunications rooms shall be included in the physical access list, and entry to them recorded in the physical access logs. (PE-4)</w:t>
      </w:r>
    </w:p>
    <w:bookmarkEnd w:id="327"/>
    <w:bookmarkStart w:id="328" w:name="access-control-for-output-devices-pe-5"/>
    <w:p>
      <w:pPr>
        <w:pStyle w:val="Heading4"/>
      </w:pPr>
      <w:r>
        <w:t xml:space="preserve">Access control for output devices (PE-5)</w:t>
      </w:r>
    </w:p>
    <w:p>
      <w:pPr>
        <w:pStyle w:val="Guidance"/>
      </w:pPr>
      <w:r>
        <w:t xml:space="preserve">PE-5 is in the Moderate and High baselines. NIST’s PE-5 discussion lists the ways to control output: output devices in locked rooms or secured areas with keypad or card reader access, devices placed where personnel can monitor them, monitor or screen filters, and headphones. Its examples of output devices are monitors, printers, scanners, audio devices, fax machines and copiers. Secure print release, where a job prints only after the user authenticates at the device, is the usual way to meet PE-5 for shared printers. The storage inside multifunction printers and copiers is media, sanitized under the Media Protection Policy before the device leaves (MP-6).</w:t>
      </w:r>
    </w:p>
    <w:p>
      <w:pPr>
        <w:pStyle w:val="Compact"/>
        <w:numPr>
          <w:ilvl w:val="0"/>
          <w:numId w:val="1245"/>
        </w:numPr>
      </w:pPr>
      <w:r>
        <w:t xml:space="preserve">The</w:t>
      </w:r>
      <w:r>
        <w:t xml:space="preserve"> </w:t>
      </w:r>
      <w:r>
        <w:rPr>
          <w:rStyle w:val="Fill-in"/>
        </w:rPr>
        <w:t xml:space="preserve">[System owner]</w:t>
      </w:r>
      <w:r>
        <w:t xml:space="preserve"> </w:t>
      </w:r>
      <w:r>
        <w:t xml:space="preserve">and the</w:t>
      </w:r>
      <w:r>
        <w:t xml:space="preserve"> </w:t>
      </w:r>
      <w:r>
        <w:rPr>
          <w:rStyle w:val="Fill-in"/>
        </w:rPr>
        <w:t xml:space="preserve">[Facilities manager]</w:t>
      </w:r>
      <w:r>
        <w:t xml:space="preserve"> </w:t>
      </w:r>
      <w:r>
        <w:t xml:space="preserve">shall control physical access to output from</w:t>
      </w:r>
      <w:r>
        <w:t xml:space="preserve"> </w:t>
      </w:r>
      <w:r>
        <w:rPr>
          <w:rStyle w:val="Fill-in"/>
        </w:rPr>
        <w:t xml:space="preserve">[Fill in: output devices that require physical access control to output. Typical: printers, copiers, scanners and fax machines in shared areas, and monitors that display information not approved for public release in areas visitors can see]</w:t>
      </w:r>
      <w:r>
        <w:t xml:space="preserve"> </w:t>
      </w:r>
      <w:r>
        <w:t xml:space="preserve">to prevent unauthorized individuals from obtaining the output. (PE-5)</w:t>
      </w:r>
    </w:p>
    <w:p>
      <w:pPr>
        <w:pStyle w:val="Compact"/>
        <w:numPr>
          <w:ilvl w:val="0"/>
          <w:numId w:val="1245"/>
        </w:numPr>
      </w:pPr>
      <w:r>
        <w:t xml:space="preserve">Shared printers and copiers that output information not approved for public release shall release a job only after the user authenticates at the device, or shall be placed in a room limited to authorized individuals. (PE-5)</w:t>
      </w:r>
    </w:p>
    <w:p>
      <w:pPr>
        <w:pStyle w:val="Compact"/>
        <w:numPr>
          <w:ilvl w:val="0"/>
          <w:numId w:val="1245"/>
        </w:numPr>
      </w:pPr>
      <w:r>
        <w:t xml:space="preserve">Monitors in reception and other areas visitors can see shall be positioned away from them or fitted with privacy filters. (PE-5)</w:t>
      </w:r>
    </w:p>
    <w:p>
      <w:pPr>
        <w:pStyle w:val="Compact"/>
        <w:numPr>
          <w:ilvl w:val="0"/>
          <w:numId w:val="1245"/>
        </w:numPr>
      </w:pPr>
      <w:r>
        <w:t xml:space="preserve">Users shall collect output promptly; uncollected output shall be removed and destroyed at least daily. (PE-5)</w:t>
      </w:r>
    </w:p>
    <w:bookmarkEnd w:id="328"/>
    <w:bookmarkStart w:id="330" w:name="monitoring-physical-access-pe-6"/>
    <w:p>
      <w:pPr>
        <w:pStyle w:val="Heading4"/>
      </w:pPr>
      <w:r>
        <w:t xml:space="preserve">Monitoring physical access (PE-6)</w:t>
      </w:r>
    </w:p>
    <w:p>
      <w:pPr>
        <w:pStyle w:val="Guidance"/>
      </w:pPr>
      <w:r>
        <w:t xml:space="preserve">NIST’s PE-6 discussion says monitoring includes publicly accessible areas, and gives guards, video surveillance and sensors as examples. It lists suspicious physical access activity: accesses outside normal work hours, repeated accesses to areas not normally accessed, accesses for unusual lengths of time, and out-of-sequence accesses. Where the physical access control system logs electronically, its logs can feed the security operations team’s monitoring (AU-2, AU-6). The investigation of a physical security incident is handled under the</w:t>
      </w:r>
      <w:r>
        <w:t xml:space="preserve"> </w:t>
      </w:r>
      <w:hyperlink r:id="rId329">
        <w:r>
          <w:rPr>
            <w:rStyle w:val="Hyperlink"/>
          </w:rPr>
          <w:t xml:space="preserve">incident response plan</w:t>
        </w:r>
      </w:hyperlink>
      <w:r>
        <w:t xml:space="preserve">. For a system hosted by a provider, its monitoring of its facility is inherited and recorded in the system security plan.</w:t>
      </w:r>
    </w:p>
    <w:p>
      <w:pPr>
        <w:pStyle w:val="Compact"/>
        <w:numPr>
          <w:ilvl w:val="0"/>
          <w:numId w:val="1246"/>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246"/>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246"/>
        </w:numPr>
      </w:pPr>
      <w:r>
        <w:t xml:space="preserve">Each review shall be recorded with its date, the reviewer, the period covered and the anomalies found. (PE-6b)</w:t>
      </w:r>
    </w:p>
    <w:p>
      <w:pPr>
        <w:pStyle w:val="Compact"/>
        <w:numPr>
          <w:ilvl w:val="0"/>
          <w:numId w:val="1246"/>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330"/>
    <w:bookmarkStart w:id="331" w:name="X7bccf12b67d401329fb67228cb284c3049dfa82"/>
    <w:p>
      <w:pPr>
        <w:pStyle w:val="Heading4"/>
      </w:pPr>
      <w:r>
        <w:t xml:space="preserve">Intrusion alarms and surveillance equipment (PE-6(1))</w:t>
      </w:r>
    </w:p>
    <w:p>
      <w:pPr>
        <w:pStyle w:val="Guidance"/>
      </w:pPr>
      <w:r>
        <w:t xml:space="preserve">PE-6(1) is in the Moderate and High baselines. NIST’s discussion of this enhancement says intrusion alarms alert security personnel when unauthorized access is attempted, working with barriers, access control systems and guards by triggering a response when they are breached; sensors include motion, contact and glass-break sensors, and surveillance equipment includes cameras at strategic locations. Keep video only as long as the records schedule allows, and treat recordings as personally identifiable information.</w:t>
      </w:r>
    </w:p>
    <w:p>
      <w:pPr>
        <w:pStyle w:val="Compact"/>
        <w:numPr>
          <w:ilvl w:val="0"/>
          <w:numId w:val="1247"/>
        </w:numPr>
      </w:pPr>
      <w:r>
        <w:t xml:space="preserve">The</w:t>
      </w:r>
      <w:r>
        <w:t xml:space="preserve"> </w:t>
      </w:r>
      <w:r>
        <w:rPr>
          <w:rStyle w:val="Fill-in"/>
        </w:rPr>
        <w:t xml:space="preserve">[Facilities manager]</w:t>
      </w:r>
      <w:r>
        <w:t xml:space="preserve"> </w:t>
      </w:r>
      <w:r>
        <w:t xml:space="preserve">shall monitor physical access to the facility where the system resides using physical intrusion alarms and surveillance equipment. (PE-6(1))</w:t>
      </w:r>
    </w:p>
    <w:p>
      <w:pPr>
        <w:pStyle w:val="Compact"/>
        <w:numPr>
          <w:ilvl w:val="0"/>
          <w:numId w:val="1247"/>
        </w:numPr>
      </w:pPr>
      <w:r>
        <w:t xml:space="preserve">Intrusion alarms shall cover the facility’s entry points and each area that contains system components when it is unoccupied, and shall alert guards, a monitoring service or designated staff who respond. (PE-6(1))</w:t>
      </w:r>
    </w:p>
    <w:p>
      <w:pPr>
        <w:pStyle w:val="Compact"/>
        <w:numPr>
          <w:ilvl w:val="0"/>
          <w:numId w:val="1247"/>
        </w:numPr>
      </w:pPr>
      <w:r>
        <w:t xml:space="preserve">Surveillance cameras shall cover the entry points to the facility and to each area that contains system components, and recordings shall be kept for the period the records schedule sets, with access limited to authorized staff. (PE-6(1))</w:t>
      </w:r>
    </w:p>
    <w:p>
      <w:pPr>
        <w:pStyle w:val="Compact"/>
        <w:numPr>
          <w:ilvl w:val="0"/>
          <w:numId w:val="1247"/>
        </w:numPr>
      </w:pPr>
      <w:r>
        <w:t xml:space="preserve">The</w:t>
      </w:r>
      <w:r>
        <w:t xml:space="preserve"> </w:t>
      </w:r>
      <w:r>
        <w:rPr>
          <w:rStyle w:val="Fill-in"/>
        </w:rPr>
        <w:t xml:space="preserve">[Facilities manager]</w:t>
      </w:r>
      <w:r>
        <w:t xml:space="preserve"> </w:t>
      </w:r>
      <w:r>
        <w:t xml:space="preserve">shall test the alarms and check the cameras at least annually, and repair faults promptly. (PE-6(1))</w:t>
      </w:r>
    </w:p>
    <w:bookmarkEnd w:id="331"/>
    <w:bookmarkStart w:id="332" w:name="X9de196770133449ec703ad076ecf625d8fe2c9d"/>
    <w:p>
      <w:pPr>
        <w:pStyle w:val="Heading4"/>
      </w:pPr>
      <w:r>
        <w:t xml:space="preserve">Monitoring physical access to systems (PE-6(4))</w:t>
      </w:r>
    </w:p>
    <w:p>
      <w:pPr>
        <w:pStyle w:val="Guidance"/>
      </w:pPr>
      <w:r>
        <w:t xml:space="preserve">PE-6(4) is in the High baseline. NIST’s discussion of this enhancement says it adds monitoring for areas where system components are concentrated, such as server rooms, media storage areas and communications centers, and that physical access monitoring can be coordinated with intrusion detection and system monitoring. Use the same spaces as PE-3(1), so every area with its own access control also has its own monitoring.</w:t>
      </w:r>
    </w:p>
    <w:p>
      <w:pPr>
        <w:pStyle w:val="Compact"/>
        <w:numPr>
          <w:ilvl w:val="0"/>
          <w:numId w:val="1248"/>
        </w:numPr>
      </w:pPr>
      <w:r>
        <w:t xml:space="preserve">The</w:t>
      </w:r>
      <w:r>
        <w:t xml:space="preserve"> </w:t>
      </w:r>
      <w:r>
        <w:rPr>
          <w:rStyle w:val="Fill-in"/>
        </w:rPr>
        <w:t xml:space="preserve">[Facilities manager]</w:t>
      </w:r>
      <w:r>
        <w:t xml:space="preserve"> </w:t>
      </w:r>
      <w:r>
        <w:t xml:space="preserve">shall monitor physical access to the system, in addition to the physical access monitoring of the facility, at</w:t>
      </w:r>
      <w:r>
        <w:t xml:space="preserve"> </w:t>
      </w:r>
      <w:r>
        <w:rPr>
          <w:rStyle w:val="Fill-in"/>
        </w:rPr>
        <w:t xml:space="preserve">[Fill in: physical spaces containing one or more components of the system. Typical: data centers, server rooms, wiring closets and media storage areas that contain components of the system]</w:t>
      </w:r>
      <w:r>
        <w:t xml:space="preserve">. (PE-6(4))</w:t>
      </w:r>
    </w:p>
    <w:p>
      <w:pPr>
        <w:pStyle w:val="Compact"/>
        <w:numPr>
          <w:ilvl w:val="0"/>
          <w:numId w:val="1248"/>
        </w:numPr>
      </w:pPr>
      <w:r>
        <w:t xml:space="preserve">Physical access events for those spaces shall be sent to the</w:t>
      </w:r>
      <w:r>
        <w:t xml:space="preserve"> </w:t>
      </w:r>
      <w:r>
        <w:rPr>
          <w:rStyle w:val="Fill-in"/>
        </w:rPr>
        <w:t xml:space="preserve">[Security operations team]</w:t>
      </w:r>
      <w:r>
        <w:t xml:space="preserve"> </w:t>
      </w:r>
      <w:r>
        <w:t xml:space="preserve">and correlated with system monitoring. (PE-6(4))</w:t>
      </w:r>
    </w:p>
    <w:bookmarkEnd w:id="332"/>
    <w:bookmarkStart w:id="335" w:name="visitor-access-records-pe-8"/>
    <w:p>
      <w:pPr>
        <w:pStyle w:val="Heading4"/>
      </w:pPr>
      <w:r>
        <w:t xml:space="preserve">Visitor access records (PE-8)</w:t>
      </w:r>
    </w:p>
    <w:p>
      <w:pPr>
        <w:pStyle w:val="Guidance"/>
      </w:pPr>
      <w:r>
        <w:t xml:space="preserve">NIST’s PE-8 discussion lists what visitor access records include: names and organizations of visitors, visitor signatures, forms of identification, dates of access, entry and departure times, purpose of visits, and names and organizations of the individuals visited. It says reviews determine whether access authorizations are current and still required, and that records are not required for publicly accessible areas. Where the organization adopts the Privacy baseline, PE-8(3) limits these elements to those the privacy risk assessment identifies. The</w:t>
      </w:r>
      <w:r>
        <w:t xml:space="preserve"> </w:t>
      </w:r>
      <w:hyperlink r:id="rId295">
        <w:r>
          <w:rPr>
            <w:rStyle w:val="Hyperlink"/>
          </w:rPr>
          <w:t xml:space="preserve">visitor log</w:t>
        </w:r>
      </w:hyperlink>
      <w:r>
        <w:t xml:space="preserve"> </w:t>
      </w:r>
      <w:r>
        <w:t xml:space="preserve">holds the fields, the reviews and the anomalies reported. Assessors pick a few dates and ask for that day’s records, then for the last review.</w:t>
      </w:r>
    </w:p>
    <w:p>
      <w:pPr>
        <w:pStyle w:val="Compact"/>
        <w:numPr>
          <w:ilvl w:val="0"/>
          <w:numId w:val="1249"/>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249"/>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249"/>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249"/>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334" w:name="federal-systems-22"/>
    <w:p>
      <w:pPr>
        <w:pStyle w:val="Heading5"/>
      </w:pPr>
      <w:r>
        <w:t xml:space="preserve">Federal systems</w:t>
      </w:r>
    </w:p>
    <w:p>
      <w:pPr>
        <w:pStyle w:val="FirstParagraph"/>
      </w:pPr>
      <w:r>
        <w:t xml:space="preserve">The National Archives and Records Administration’s</w:t>
      </w:r>
      <w:r>
        <w:t xml:space="preserve"> </w:t>
      </w:r>
      <w:hyperlink r:id="rId333">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250"/>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334"/>
    <w:bookmarkEnd w:id="335"/>
    <w:bookmarkStart w:id="336" w:name="Xd88b3d6ba727cbaf11386ab2c7d2089cd75b11d"/>
    <w:p>
      <w:pPr>
        <w:pStyle w:val="Heading4"/>
      </w:pPr>
      <w:r>
        <w:t xml:space="preserve">Automated records maintenance and review (PE-8(1))</w:t>
      </w:r>
    </w:p>
    <w:p>
      <w:pPr>
        <w:pStyle w:val="Guidance"/>
      </w:pPr>
      <w:r>
        <w:t xml:space="preserve">PE-8(1) is in the High baseline. NIST’s discussion of this enhancement says visitor access records may be kept in a database accessible to organizational personnel, and that automated access makes regular reviews easier. An electronic visitor management system that prints the visitor badge and records the escort meets the maintenance half; the review half needs reports, such as open visits and badges not returned, that someone reads on the PE-8 schedule.</w:t>
      </w:r>
    </w:p>
    <w:p>
      <w:pPr>
        <w:pStyle w:val="Compact"/>
        <w:numPr>
          <w:ilvl w:val="0"/>
          <w:numId w:val="1251"/>
        </w:numPr>
      </w:pPr>
      <w:r>
        <w:t xml:space="preserve">The</w:t>
      </w:r>
      <w:r>
        <w:t xml:space="preserve"> </w:t>
      </w:r>
      <w:r>
        <w:rPr>
          <w:rStyle w:val="Fill-in"/>
        </w:rPr>
        <w:t xml:space="preserve">[Facilities manager]</w:t>
      </w:r>
      <w:r>
        <w:t xml:space="preserve"> </w:t>
      </w:r>
      <w:r>
        <w:t xml:space="preserve">shall maintain visitor access records using</w:t>
      </w:r>
      <w:r>
        <w:t xml:space="preserve"> </w:t>
      </w:r>
      <w:r>
        <w:rPr>
          <w:rStyle w:val="Fill-in"/>
        </w:rPr>
        <w:t xml:space="preserve">[Fill in: automated mechanisms used to maintain visitor access records. Typical: an electronic visitor management system]</w:t>
      </w:r>
      <w:r>
        <w:t xml:space="preserve">. (PE-8(1))</w:t>
      </w:r>
    </w:p>
    <w:p>
      <w:pPr>
        <w:pStyle w:val="Compact"/>
        <w:numPr>
          <w:ilvl w:val="0"/>
          <w:numId w:val="1251"/>
        </w:numPr>
      </w:pPr>
      <w:r>
        <w:t xml:space="preserve">The</w:t>
      </w:r>
      <w:r>
        <w:t xml:space="preserve"> </w:t>
      </w:r>
      <w:r>
        <w:rPr>
          <w:rStyle w:val="Fill-in"/>
        </w:rPr>
        <w:t xml:space="preserve">[Facilities manager]</w:t>
      </w:r>
      <w:r>
        <w:t xml:space="preserve"> </w:t>
      </w:r>
      <w:r>
        <w:t xml:space="preserve">shall review visitor access records using</w:t>
      </w:r>
      <w:r>
        <w:t xml:space="preserve"> </w:t>
      </w:r>
      <w:r>
        <w:rPr>
          <w:rStyle w:val="Fill-in"/>
        </w:rPr>
        <w:t xml:space="preserve">[Fill in: automated mechanisms used to review visitor access records. Typical: the visitor management system’s reports, compared with the physical access control system’s logs]</w:t>
      </w:r>
      <w:r>
        <w:t xml:space="preserve">. (PE-8(1))</w:t>
      </w:r>
    </w:p>
    <w:bookmarkEnd w:id="336"/>
    <w:bookmarkStart w:id="337" w:name="power-equipment-and-cabling-pe-9"/>
    <w:p>
      <w:pPr>
        <w:pStyle w:val="Heading4"/>
      </w:pPr>
      <w:r>
        <w:t xml:space="preserve">Power equipment and cabling (PE-9)</w:t>
      </w:r>
    </w:p>
    <w:p>
      <w:pPr>
        <w:pStyle w:val="Guidance"/>
      </w:pPr>
      <w:r>
        <w:t xml:space="preserve">PE-9 is in the Moderate and High baselines. NIST’s PE-9 discussion has organizations decide the protection needed for power equipment and cabling inside and outside their facilities, such as internal cabling and uninterruptible power supplies in offices or data centers, and generators and power cabling outside buildings. For a system hosted by a provider, PE-9 is inherited for the provider’s facility.</w:t>
      </w:r>
    </w:p>
    <w:p>
      <w:pPr>
        <w:pStyle w:val="Compact"/>
        <w:numPr>
          <w:ilvl w:val="0"/>
          <w:numId w:val="1252"/>
        </w:numPr>
      </w:pPr>
      <w:r>
        <w:t xml:space="preserve">The</w:t>
      </w:r>
      <w:r>
        <w:t xml:space="preserve"> </w:t>
      </w:r>
      <w:r>
        <w:rPr>
          <w:rStyle w:val="Fill-in"/>
        </w:rPr>
        <w:t xml:space="preserve">[Facilities manager]</w:t>
      </w:r>
      <w:r>
        <w:t xml:space="preserve"> </w:t>
      </w:r>
      <w:r>
        <w:t xml:space="preserve">shall protect power equipment and power cabling for the system from damage and destruction. (PE-9)</w:t>
      </w:r>
    </w:p>
    <w:p>
      <w:pPr>
        <w:pStyle w:val="Compact"/>
        <w:numPr>
          <w:ilvl w:val="0"/>
          <w:numId w:val="1252"/>
        </w:numPr>
      </w:pPr>
      <w:r>
        <w:t xml:space="preserve">Power distribution units, uninterruptible power supplies, transfer switches and generators that serve the system shall be in locked rooms or enclosures with access limited to authorized staff, and outdoor equipment shall be fenced or otherwise protected from vehicles and tampering. (PE-9)</w:t>
      </w:r>
    </w:p>
    <w:p>
      <w:pPr>
        <w:pStyle w:val="Compact"/>
        <w:numPr>
          <w:ilvl w:val="0"/>
          <w:numId w:val="1252"/>
        </w:numPr>
      </w:pPr>
      <w:r>
        <w:t xml:space="preserve">Power cabling shall be routed and labeled so that it is protected from accidental damage, kept separate from data cabling where practical, and not run across walkways. (PE-9)</w:t>
      </w:r>
    </w:p>
    <w:p>
      <w:pPr>
        <w:pStyle w:val="Compact"/>
        <w:numPr>
          <w:ilvl w:val="0"/>
          <w:numId w:val="1252"/>
        </w:numPr>
      </w:pPr>
      <w:r>
        <w:t xml:space="preserve">Power equipment shall be maintained as the manufacturer specifies, and the maintenance recorded. (PE-9)</w:t>
      </w:r>
    </w:p>
    <w:bookmarkEnd w:id="337"/>
    <w:bookmarkStart w:id="338" w:name="emergency-shutoff-pe-10"/>
    <w:p>
      <w:pPr>
        <w:pStyle w:val="Heading4"/>
      </w:pPr>
      <w:r>
        <w:t xml:space="preserve">Emergency shutoff (PE-10)</w:t>
      </w:r>
    </w:p>
    <w:p>
      <w:pPr>
        <w:pStyle w:val="Guidance"/>
      </w:pPr>
      <w:r>
        <w:t xml:space="preserve">PE-10 is in the Moderate and High baselines. NIST’s PE-10 discussion says emergency power shutoff applies mainly to facilities with concentrations of system resources, such as data centers, mainframe rooms, server rooms and areas with computer-controlled machinery. An office with no server room usually has nothing to which PE-10 applies beyond the building’s own electrical controls; say so in the system security plan rather than leaving it blank. Accidental activation is the common finding: an unguarded button beside a door that someone mistakes for a door release.</w:t>
      </w:r>
    </w:p>
    <w:p>
      <w:pPr>
        <w:pStyle w:val="Compact"/>
        <w:numPr>
          <w:ilvl w:val="0"/>
          <w:numId w:val="1253"/>
        </w:numPr>
      </w:pPr>
      <w:r>
        <w:t xml:space="preserve">The</w:t>
      </w:r>
      <w:r>
        <w:t xml:space="preserve"> </w:t>
      </w:r>
      <w:r>
        <w:rPr>
          <w:rStyle w:val="Fill-in"/>
        </w:rPr>
        <w:t xml:space="preserve">[Facilities manager]</w:t>
      </w:r>
      <w:r>
        <w:t xml:space="preserve"> </w:t>
      </w:r>
      <w:r>
        <w:t xml:space="preserve">shall provide the capability of shutting off power to</w:t>
      </w:r>
      <w:r>
        <w:t xml:space="preserve"> </w:t>
      </w:r>
      <w:r>
        <w:rPr>
          <w:rStyle w:val="Fill-in"/>
        </w:rPr>
        <w:t xml:space="preserve">[Fill in: system or individual system components that require the capability to shut off power in emergency situations. Typical: the equipment in each data center and server room, including servers, storage, network equipment and their cooling]</w:t>
      </w:r>
      <w:r>
        <w:t xml:space="preserve"> </w:t>
      </w:r>
      <w:r>
        <w:t xml:space="preserve">in emergency situations. (PE-10a)</w:t>
      </w:r>
    </w:p>
    <w:p>
      <w:pPr>
        <w:pStyle w:val="Compact"/>
        <w:numPr>
          <w:ilvl w:val="0"/>
          <w:numId w:val="1253"/>
        </w:numPr>
      </w:pPr>
      <w:r>
        <w:t xml:space="preserve">The</w:t>
      </w:r>
      <w:r>
        <w:t xml:space="preserve"> </w:t>
      </w:r>
      <w:r>
        <w:rPr>
          <w:rStyle w:val="Fill-in"/>
        </w:rPr>
        <w:t xml:space="preserve">[Facilities manager]</w:t>
      </w:r>
      <w:r>
        <w:t xml:space="preserve"> </w:t>
      </w:r>
      <w:r>
        <w:t xml:space="preserve">shall place emergency shutoff switches or devices</w:t>
      </w:r>
      <w:r>
        <w:t xml:space="preserve"> </w:t>
      </w:r>
      <w:r>
        <w:rPr>
          <w:rStyle w:val="Fill-in"/>
        </w:rPr>
        <w:t xml:space="preserve">[Fill in: location of emergency shutoff switches or devices by system or system component. Typical: beside the main exit of each data center and server room, clearly labeled]</w:t>
      </w:r>
      <w:r>
        <w:t xml:space="preserve"> </w:t>
      </w:r>
      <w:r>
        <w:t xml:space="preserve">to facilitate access for authorized personnel. (PE-10b)</w:t>
      </w:r>
    </w:p>
    <w:p>
      <w:pPr>
        <w:pStyle w:val="Compact"/>
        <w:numPr>
          <w:ilvl w:val="0"/>
          <w:numId w:val="1253"/>
        </w:numPr>
      </w:pPr>
      <w:r>
        <w:t xml:space="preserve">The</w:t>
      </w:r>
      <w:r>
        <w:t xml:space="preserve"> </w:t>
      </w:r>
      <w:r>
        <w:rPr>
          <w:rStyle w:val="Fill-in"/>
        </w:rPr>
        <w:t xml:space="preserve">[Facilities manager]</w:t>
      </w:r>
      <w:r>
        <w:t xml:space="preserve"> </w:t>
      </w:r>
      <w:r>
        <w:t xml:space="preserve">shall protect the emergency power shutoff capability from unauthorized activation, with protective covers on the switches, placement inside the access-controlled area, and an alarm or camera that records activation. (PE-10c)</w:t>
      </w:r>
    </w:p>
    <w:p>
      <w:pPr>
        <w:pStyle w:val="Compact"/>
        <w:numPr>
          <w:ilvl w:val="0"/>
          <w:numId w:val="1253"/>
        </w:numPr>
      </w:pPr>
      <w:r>
        <w:t xml:space="preserve">Staff who work in those areas shall be shown the shutoff locations and told when to use them. (PE-10b)</w:t>
      </w:r>
    </w:p>
    <w:bookmarkEnd w:id="338"/>
    <w:bookmarkStart w:id="339" w:name="emergency-power-pe-11"/>
    <w:p>
      <w:pPr>
        <w:pStyle w:val="Heading4"/>
      </w:pPr>
      <w:r>
        <w:t xml:space="preserve">Emergency power (PE-11)</w:t>
      </w:r>
    </w:p>
    <w:p>
      <w:pPr>
        <w:pStyle w:val="Guidance"/>
      </w:pPr>
      <w:r>
        <w:t xml:space="preserve">PE-11 is in the Moderate and High baselines. NIST’s PE-11 discussion describes an uninterruptible power supply (UPS) as near-instantaneous protection from power interruptions, from batteries, supercapacitors or flywheels, with a short duration that gives time to start a standby source such as a generator or to shut the system down properly. Choose the selection from the</w:t>
      </w:r>
      <w:r>
        <w:t xml:space="preserve"> </w:t>
      </w:r>
      <w:hyperlink r:id="rId182">
        <w:r>
          <w:rPr>
            <w:rStyle w:val="Hyperlink"/>
          </w:rPr>
          <w:t xml:space="preserve">business impact analysis</w:t>
        </w:r>
      </w:hyperlink>
      <w:r>
        <w:t xml:space="preserve">: if the system’s recovery time objective tolerates waiting for power to return, an orderly shutdown is enough; if not, the UPS must carry the load until long-term alternate power takes over, and the</w:t>
      </w:r>
      <w:r>
        <w:t xml:space="preserve"> </w:t>
      </w:r>
      <w:hyperlink r:id="rId183">
        <w:r>
          <w:rPr>
            <w:rStyle w:val="Hyperlink"/>
          </w:rPr>
          <w:t xml:space="preserve">contingency plan</w:t>
        </w:r>
      </w:hyperlink>
      <w:r>
        <w:t xml:space="preserve"> </w:t>
      </w:r>
      <w:r>
        <w:t xml:space="preserve">should say how. High systems add PE-11(1). For a system hosted by a provider, PE-11 is inherited.</w:t>
      </w:r>
    </w:p>
    <w:p>
      <w:pPr>
        <w:pStyle w:val="Compact"/>
        <w:numPr>
          <w:ilvl w:val="0"/>
          <w:numId w:val="1254"/>
        </w:numPr>
      </w:pPr>
      <w:r>
        <w:t xml:space="preserve">The</w:t>
      </w:r>
      <w:r>
        <w:t xml:space="preserve"> </w:t>
      </w:r>
      <w:r>
        <w:rPr>
          <w:rStyle w:val="Fill-in"/>
        </w:rPr>
        <w:t xml:space="preserve">[Facilities manager]</w:t>
      </w:r>
      <w:r>
        <w:t xml:space="preserve"> </w:t>
      </w:r>
      <w:r>
        <w:t xml:space="preserve">shall provide an uninterruptible power supply to facilitate</w:t>
      </w:r>
      <w:r>
        <w:t xml:space="preserve"> </w:t>
      </w:r>
      <w:r>
        <w:rPr>
          <w:rStyle w:val="Fill-in"/>
        </w:rPr>
        <w:t xml:space="preserve">[Select one: an orderly shutdown of the system; transition of the system to long-term alternate power. Typical: an orderly shutdown of the system]</w:t>
      </w:r>
      <w:r>
        <w:t xml:space="preserve"> </w:t>
      </w:r>
      <w:r>
        <w:t xml:space="preserve">in the event of a primary power source loss. (PE-11)</w:t>
      </w:r>
    </w:p>
    <w:p>
      <w:pPr>
        <w:pStyle w:val="Compact"/>
        <w:numPr>
          <w:ilvl w:val="0"/>
          <w:numId w:val="1254"/>
        </w:numPr>
      </w:pPr>
      <w:r>
        <w:t xml:space="preserve">Where the contingency plan’s recovery time objective cannot be met by restarting the system after primary power returns, the</w:t>
      </w:r>
      <w:r>
        <w:t xml:space="preserve"> </w:t>
      </w:r>
      <w:r>
        <w:rPr>
          <w:rStyle w:val="Fill-in"/>
        </w:rPr>
        <w:t xml:space="preserve">[Facilities manager]</w:t>
      </w:r>
      <w:r>
        <w:t xml:space="preserve"> </w:t>
      </w:r>
      <w:r>
        <w:t xml:space="preserve">shall also provide long-term alternate power, such as a generator, to which the uninterruptible power supply transitions the system. (PE-11)</w:t>
      </w:r>
    </w:p>
    <w:p>
      <w:pPr>
        <w:pStyle w:val="Compact"/>
        <w:numPr>
          <w:ilvl w:val="0"/>
          <w:numId w:val="1254"/>
        </w:numPr>
      </w:pPr>
      <w:r>
        <w:t xml:space="preserve">The</w:t>
      </w:r>
      <w:r>
        <w:t xml:space="preserve"> </w:t>
      </w:r>
      <w:r>
        <w:rPr>
          <w:rStyle w:val="Fill-in"/>
        </w:rPr>
        <w:t xml:space="preserve">[System owner]</w:t>
      </w:r>
      <w:r>
        <w:t xml:space="preserve"> </w:t>
      </w:r>
      <w:r>
        <w:t xml:space="preserve">shall configure the system’s components to shut down in order, automatically where they support it, before the uninterruptible power supply’s batteries are exhausted. (PE-11)</w:t>
      </w:r>
    </w:p>
    <w:p>
      <w:pPr>
        <w:pStyle w:val="Compact"/>
        <w:numPr>
          <w:ilvl w:val="0"/>
          <w:numId w:val="1254"/>
        </w:numPr>
      </w:pPr>
      <w:r>
        <w:t xml:space="preserve">The</w:t>
      </w:r>
      <w:r>
        <w:t xml:space="preserve"> </w:t>
      </w:r>
      <w:r>
        <w:rPr>
          <w:rStyle w:val="Fill-in"/>
        </w:rPr>
        <w:t xml:space="preserve">[Facilities manager]</w:t>
      </w:r>
      <w:r>
        <w:t xml:space="preserve"> </w:t>
      </w:r>
      <w:r>
        <w:t xml:space="preserve">shall test the uninterruptible power supply and any generator at least annually, replace batteries as the manufacturer specifies, and confirm the runtime still covers the load. (PE-11)</w:t>
      </w:r>
    </w:p>
    <w:bookmarkEnd w:id="339"/>
    <w:bookmarkStart w:id="340" w:name="X75efbc56e6d85add9035ed9fda1d63a7af8f254"/>
    <w:p>
      <w:pPr>
        <w:pStyle w:val="Heading4"/>
      </w:pPr>
      <w:r>
        <w:t xml:space="preserve">Alternate power supply — minimal operational capability (PE-11(1))</w:t>
      </w:r>
    </w:p>
    <w:p>
      <w:pPr>
        <w:pStyle w:val="Guidance"/>
      </w:pPr>
      <w:r>
        <w:t xml:space="preserve">PE-11(1) is in the High baseline. NIST’s discussion of this enhancement says it can be met by a secondary commercial power supply or another external power supply. A generator with an automatic transfer switch is the usual way; size it and its fuel for the minimally required operational capability the contingency plan defines.</w:t>
      </w:r>
    </w:p>
    <w:p>
      <w:pPr>
        <w:pStyle w:val="Compact"/>
        <w:numPr>
          <w:ilvl w:val="0"/>
          <w:numId w:val="1255"/>
        </w:numPr>
      </w:pPr>
      <w:r>
        <w:t xml:space="preserve">The</w:t>
      </w:r>
      <w:r>
        <w:t xml:space="preserve"> </w:t>
      </w:r>
      <w:r>
        <w:rPr>
          <w:rStyle w:val="Fill-in"/>
        </w:rPr>
        <w:t xml:space="preserve">[Facilities manager]</w:t>
      </w:r>
      <w:r>
        <w:t xml:space="preserve"> </w:t>
      </w:r>
      <w:r>
        <w:t xml:space="preserve">shall provide an alternate power supply for the system that is activated</w:t>
      </w:r>
      <w:r>
        <w:t xml:space="preserve"> </w:t>
      </w:r>
      <w:r>
        <w:rPr>
          <w:rStyle w:val="Fill-in"/>
        </w:rPr>
        <w:t xml:space="preserve">[Select one: manually; automatically. Typical: automatically]</w:t>
      </w:r>
      <w:r>
        <w:t xml:space="preserve"> </w:t>
      </w:r>
      <w:r>
        <w:t xml:space="preserve">and that can maintain minimally required operational capability in the event of an extended loss of the primary power source. (PE-11(1))</w:t>
      </w:r>
    </w:p>
    <w:p>
      <w:pPr>
        <w:pStyle w:val="Compact"/>
        <w:numPr>
          <w:ilvl w:val="0"/>
          <w:numId w:val="1255"/>
        </w:numPr>
      </w:pPr>
      <w:r>
        <w:t xml:space="preserve">The</w:t>
      </w:r>
      <w:r>
        <w:t xml:space="preserve"> </w:t>
      </w:r>
      <w:r>
        <w:rPr>
          <w:rStyle w:val="Fill-in"/>
        </w:rPr>
        <w:t xml:space="preserve">[System owner]</w:t>
      </w:r>
      <w:r>
        <w:t xml:space="preserve"> </w:t>
      </w:r>
      <w:r>
        <w:t xml:space="preserve">shall define the minimally required operational capability in the contingency plan, and the</w:t>
      </w:r>
      <w:r>
        <w:t xml:space="preserve"> </w:t>
      </w:r>
      <w:r>
        <w:rPr>
          <w:rStyle w:val="Fill-in"/>
        </w:rPr>
        <w:t xml:space="preserve">[Facilities manager]</w:t>
      </w:r>
      <w:r>
        <w:t xml:space="preserve"> </w:t>
      </w:r>
      <w:r>
        <w:t xml:space="preserve">shall keep fuel or supply contracts sufficient to sustain it for the outage duration the plan assumes. (PE-11(1))</w:t>
      </w:r>
    </w:p>
    <w:bookmarkEnd w:id="340"/>
    <w:bookmarkStart w:id="341" w:name="emergency-lighting-pe-12"/>
    <w:p>
      <w:pPr>
        <w:pStyle w:val="Heading4"/>
      </w:pPr>
      <w:r>
        <w:t xml:space="preserve">Emergency lighting (PE-12)</w:t>
      </w:r>
    </w:p>
    <w:p>
      <w:pPr>
        <w:pStyle w:val="Guidance"/>
      </w:pPr>
      <w:r>
        <w:t xml:space="preserve">NIST’s PE-12 discussion says emergency lighting applies mainly to facilities with concentrations of system resources, such as data centers, server rooms and mainframe rooms; that emergency lighting provisions are described in the organization’s contingency plan; and that if emergency lighting fails or cannot be provided, organizations consider alternate processing sites for power-related contingencies. Building and fire codes usually require emergency lighting already; PE-12 asks that it cover the rooms that hold the system and be maintained.</w:t>
      </w:r>
    </w:p>
    <w:p>
      <w:pPr>
        <w:pStyle w:val="Compact"/>
        <w:numPr>
          <w:ilvl w:val="0"/>
          <w:numId w:val="1256"/>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256"/>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256"/>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341"/>
    <w:bookmarkStart w:id="342" w:name="fire-protection-pe-13"/>
    <w:p>
      <w:pPr>
        <w:pStyle w:val="Heading4"/>
      </w:pPr>
      <w:r>
        <w:t xml:space="preserve">Fire protection (PE-13)</w:t>
      </w:r>
    </w:p>
    <w:p>
      <w:pPr>
        <w:pStyle w:val="Guidance"/>
      </w:pPr>
      <w:r>
        <w:t xml:space="preserve">NIST’s PE-13 discussion says fire detection and suppression applies mainly to facilities with concentrations of system resources, such as data centers, server rooms and mainframe rooms; that systems that may need an independent energy source include sprinkler systems and smoke detectors; and that an independent energy source, such as a microgrid, is one separate, or separable, from the sources powering the rest of the facility. Building and fire codes and the local fire authority set most of the details; the policy makes sure the rooms that hold the system are covered and the systems are maintained. For a system hosted by a provider, PE-13 is inherited.</w:t>
      </w:r>
    </w:p>
    <w:p>
      <w:pPr>
        <w:pStyle w:val="Compact"/>
        <w:numPr>
          <w:ilvl w:val="0"/>
          <w:numId w:val="1257"/>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257"/>
        </w:numPr>
      </w:pPr>
      <w:r>
        <w:t xml:space="preserve">Fire detection and suppression systems shall be inspected, tested and maintained as the applicable fire code and the manufacturer require, and the records kept. (PE-13)</w:t>
      </w:r>
    </w:p>
    <w:p>
      <w:pPr>
        <w:pStyle w:val="Compact"/>
        <w:numPr>
          <w:ilvl w:val="0"/>
          <w:numId w:val="1257"/>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342"/>
    <w:bookmarkStart w:id="343" w:name="X8509ce78cf9e0b77ab35880d1fd09a289d534af"/>
    <w:p>
      <w:pPr>
        <w:pStyle w:val="Heading4"/>
      </w:pPr>
      <w:r>
        <w:t xml:space="preserve">Detection systems — automatic activation and notification (PE-13(1))</w:t>
      </w:r>
    </w:p>
    <w:p>
      <w:pPr>
        <w:pStyle w:val="Guidance"/>
      </w:pPr>
      <w:r>
        <w:t xml:space="preserve">PE-13(1) is in the Moderate and High baselines. NIST’s discussion of this enhancement says organizations can name personnel, roles and emergency responders when people on the notification list need access authorizations or clearances to enter restricted facilities, and that notification mechanisms may need independent energy sources so a fire does not disable them. Check the notification path in the annual fire system test.</w:t>
      </w:r>
    </w:p>
    <w:p>
      <w:pPr>
        <w:pStyle w:val="Compact"/>
        <w:numPr>
          <w:ilvl w:val="0"/>
          <w:numId w:val="1258"/>
        </w:numPr>
      </w:pPr>
      <w:r>
        <w:t xml:space="preserve">The</w:t>
      </w:r>
      <w:r>
        <w:t xml:space="preserve"> </w:t>
      </w:r>
      <w:r>
        <w:rPr>
          <w:rStyle w:val="Fill-in"/>
        </w:rPr>
        <w:t xml:space="preserve">[Facilities manager]</w:t>
      </w:r>
      <w:r>
        <w:t xml:space="preserve"> </w:t>
      </w:r>
      <w:r>
        <w:t xml:space="preserve">shall employ fire detection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w:t>
      </w:r>
      <w:r>
        <w:t xml:space="preserve">in the event of a fire. (PE-13(1))</w:t>
      </w:r>
    </w:p>
    <w:p>
      <w:pPr>
        <w:pStyle w:val="Compact"/>
        <w:numPr>
          <w:ilvl w:val="0"/>
          <w:numId w:val="1258"/>
        </w:numPr>
      </w:pPr>
      <w:r>
        <w:t xml:space="preserve">The notification path shall have power independent of the facility’s main supply, and shall be tested with the fire detection system. (PE-13(1))</w:t>
      </w:r>
    </w:p>
    <w:bookmarkEnd w:id="343"/>
    <w:bookmarkStart w:id="344" w:name="Xad479a28145ad1385031011c83471e6fca97c69"/>
    <w:p>
      <w:pPr>
        <w:pStyle w:val="Heading4"/>
      </w:pPr>
      <w:r>
        <w:t xml:space="preserve">Suppression systems — automatic activation and notification (PE-13(2))</w:t>
      </w:r>
    </w:p>
    <w:p>
      <w:pPr>
        <w:pStyle w:val="Guidance"/>
      </w:pPr>
      <w:r>
        <w:t xml:space="preserve">PE-13(2) is in the High baseline. NIST’s discussion of this enhancement matches PE-13(1)’s: name personnel and responders where access authorizations are needed to enter, and give the notification mechanism an independent energy source. Use the same notification list as PE-13(1).</w:t>
      </w:r>
    </w:p>
    <w:p>
      <w:pPr>
        <w:pStyle w:val="Compact"/>
        <w:numPr>
          <w:ilvl w:val="0"/>
          <w:numId w:val="1259"/>
        </w:numPr>
      </w:pPr>
      <w:r>
        <w:t xml:space="preserve">The</w:t>
      </w:r>
      <w:r>
        <w:t xml:space="preserve"> </w:t>
      </w:r>
      <w:r>
        <w:rPr>
          <w:rStyle w:val="Fill-in"/>
        </w:rPr>
        <w:t xml:space="preserve">[Facilities manager]</w:t>
      </w:r>
      <w:r>
        <w:t xml:space="preserve"> </w:t>
      </w:r>
      <w:r>
        <w:t xml:space="preserve">shall employ fire suppression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(PE-13(2)(a))</w:t>
      </w:r>
    </w:p>
    <w:p>
      <w:pPr>
        <w:pStyle w:val="Compact"/>
        <w:numPr>
          <w:ilvl w:val="0"/>
          <w:numId w:val="1259"/>
        </w:numPr>
      </w:pPr>
      <w:r>
        <w:t xml:space="preserve">The</w:t>
      </w:r>
      <w:r>
        <w:t xml:space="preserve"> </w:t>
      </w:r>
      <w:r>
        <w:rPr>
          <w:rStyle w:val="Fill-in"/>
        </w:rPr>
        <w:t xml:space="preserve">[Facilities manager]</w:t>
      </w:r>
      <w:r>
        <w:t xml:space="preserve"> </w:t>
      </w:r>
      <w:r>
        <w:t xml:space="preserve">shall employ an automatic fire suppression capability when the facility is not staffed on a continuous basis. (PE-13(2)(b))</w:t>
      </w:r>
    </w:p>
    <w:bookmarkEnd w:id="344"/>
    <w:bookmarkStart w:id="345" w:name="environmental-controls-pe-14"/>
    <w:p>
      <w:pPr>
        <w:pStyle w:val="Heading4"/>
      </w:pPr>
      <w:r>
        <w:t xml:space="preserve">Environmental controls (PE-14)</w:t>
      </w:r>
    </w:p>
    <w:p>
      <w:pPr>
        <w:pStyle w:val="Guidance"/>
      </w:pPr>
      <w:r>
        <w:t xml:space="preserve">NIST’s PE-14 discussion says environmental controls apply mainly to facilities with concentrations of system resources, such as data centers, mainframe rooms and server rooms, and that insufficient controls, especially in harsh environments, can significantly affect the availability of systems that support mission and business functions. Pressure and radiation matter only in special environments; add them, or another control such as dust, where the site needs it. A server room cooled by the building’s office air conditioning, which shuts off at night or on weekends, is a common finding. For a system hosted by a provider, PE-14 is inherited.</w:t>
      </w:r>
    </w:p>
    <w:p>
      <w:pPr>
        <w:pStyle w:val="Compact"/>
        <w:numPr>
          <w:ilvl w:val="0"/>
          <w:numId w:val="1260"/>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260"/>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260"/>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260"/>
        </w:numPr>
      </w:pPr>
      <w:r>
        <w:t xml:space="preserve">Cooling for areas that contain system components shall run independently of the building’s office schedule, with enough capacity or redundancy that the loss of one unit does not take the room out of range. (PE-14a)</w:t>
      </w:r>
    </w:p>
    <w:bookmarkEnd w:id="345"/>
    <w:bookmarkStart w:id="346" w:name="water-damage-protection-pe-15"/>
    <w:p>
      <w:pPr>
        <w:pStyle w:val="Heading4"/>
      </w:pPr>
      <w:r>
        <w:t xml:space="preserve">Water damage protection (PE-15)</w:t>
      </w:r>
    </w:p>
    <w:p>
      <w:pPr>
        <w:pStyle w:val="Guidance"/>
      </w:pPr>
      <w:r>
        <w:t xml:space="preserve">NIST’s PE-15 discussion says water damage protection applies mainly to facilities with concentrations of system resources, such as data centers, server rooms and mainframe rooms, and that isolation valves can be used in addition to, or instead of, master shutoff valves to shut off water in specific areas without affecting the whole organization. Assessors ask staff where the valve is and check that it is labeled and reachable. For a system hosted by a provider, PE-15 is inherited.</w:t>
      </w:r>
    </w:p>
    <w:p>
      <w:pPr>
        <w:pStyle w:val="Compact"/>
        <w:numPr>
          <w:ilvl w:val="0"/>
          <w:numId w:val="1261"/>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261"/>
        </w:numPr>
      </w:pPr>
      <w:r>
        <w:t xml:space="preserve">The valves shall be labeled, shown on a facility plan kept with the contingency plan, kept clear of obstructions, and exercised at least annually. (PE-15)</w:t>
      </w:r>
    </w:p>
    <w:p>
      <w:pPr>
        <w:pStyle w:val="Compact"/>
        <w:numPr>
          <w:ilvl w:val="0"/>
          <w:numId w:val="1261"/>
        </w:numPr>
      </w:pPr>
      <w:r>
        <w:t xml:space="preserve">Key personnel, including the staff who work in areas that contain system components, shall be shown the valve locations and how to operate them. (PE-15)</w:t>
      </w:r>
    </w:p>
    <w:p>
      <w:pPr>
        <w:pStyle w:val="Compact"/>
        <w:numPr>
          <w:ilvl w:val="0"/>
          <w:numId w:val="1261"/>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346"/>
    <w:bookmarkStart w:id="347" w:name="automation-support-pe-151"/>
    <w:p>
      <w:pPr>
        <w:pStyle w:val="Heading4"/>
      </w:pPr>
      <w:r>
        <w:t xml:space="preserve">Automation support (PE-15(1))</w:t>
      </w:r>
    </w:p>
    <w:p>
      <w:pPr>
        <w:pStyle w:val="Guidance"/>
      </w:pPr>
      <w:r>
        <w:t xml:space="preserve">PE-15(1) is in the High baseline. NIST’s discussion of this enhancement lists notification systems, water detection sensors and alarms as automated mechanisms. Alert the same people as the environmental monitoring in PE-14, so one on-call path covers both.</w:t>
      </w:r>
    </w:p>
    <w:p>
      <w:pPr>
        <w:pStyle w:val="Compact"/>
        <w:numPr>
          <w:ilvl w:val="0"/>
          <w:numId w:val="1262"/>
        </w:numPr>
      </w:pPr>
      <w:r>
        <w:t xml:space="preserve">The</w:t>
      </w:r>
      <w:r>
        <w:t xml:space="preserve"> </w:t>
      </w:r>
      <w:r>
        <w:rPr>
          <w:rStyle w:val="Fill-in"/>
        </w:rPr>
        <w:t xml:space="preserve">[Facilities manager]</w:t>
      </w:r>
      <w:r>
        <w:t xml:space="preserve"> </w:t>
      </w:r>
      <w:r>
        <w:t xml:space="preserve">shall detect the presence of water near the system and alert</w:t>
      </w:r>
      <w:r>
        <w:t xml:space="preserve"> </w:t>
      </w:r>
      <w:r>
        <w:rPr>
          <w:rStyle w:val="Fill-in"/>
        </w:rPr>
        <w:t xml:space="preserve">[Fill in: personnel or roles to be alerted when the presence of water is detected near the system. Typical: the facilities manager and the operations staff on duty for the facility]</w:t>
      </w:r>
      <w:r>
        <w:t xml:space="preserve"> </w:t>
      </w:r>
      <w:r>
        <w:t xml:space="preserve">using</w:t>
      </w:r>
      <w:r>
        <w:t xml:space="preserve"> </w:t>
      </w:r>
      <w:r>
        <w:rPr>
          <w:rStyle w:val="Fill-in"/>
        </w:rPr>
        <w:t xml:space="preserve">[Fill in: automated mechanisms used to detect the presence of water near the system. Typical: water detection sensors under raised floors, near cooling units and below any pipes in areas that contain system components, connected to the building management or environmental monitoring system]</w:t>
      </w:r>
      <w:r>
        <w:t xml:space="preserve">. (PE-15(1))</w:t>
      </w:r>
    </w:p>
    <w:p>
      <w:pPr>
        <w:pStyle w:val="Compact"/>
        <w:numPr>
          <w:ilvl w:val="0"/>
          <w:numId w:val="1262"/>
        </w:numPr>
      </w:pPr>
      <w:r>
        <w:t xml:space="preserve">The water detection sensors and their alerts shall be tested at least annually. (PE-15(1))</w:t>
      </w:r>
    </w:p>
    <w:bookmarkEnd w:id="347"/>
    <w:bookmarkStart w:id="348" w:name="delivery-and-removal-pe-16"/>
    <w:p>
      <w:pPr>
        <w:pStyle w:val="Heading4"/>
      </w:pPr>
      <w:r>
        <w:t xml:space="preserve">Delivery and removal (PE-16)</w:t>
      </w:r>
    </w:p>
    <w:p>
      <w:pPr>
        <w:pStyle w:val="Guidance"/>
      </w:pPr>
      <w:r>
        <w:t xml:space="preserve">NIST’s PE-16 discussion says enforcing authorizations for components entering and leaving the facility may require restricting access to delivery areas and isolating them from the system and media libraries. PE-16 is where the other families’ removal rules meet the door: a component leaving for repair needs the system owner’s approval and sanitized media under the Maintenance Policy (MA-2), media leaving a controlled area travel under the Media Protection Policy (MP-5), and arriving components are checked against the order and recorded in the component inventory (CM-8) before they are connected. Assessors pick a recent delivery and a recent removal and follow each through the records.</w:t>
      </w:r>
    </w:p>
    <w:p>
      <w:pPr>
        <w:pStyle w:val="Compact"/>
        <w:numPr>
          <w:ilvl w:val="0"/>
          <w:numId w:val="1263"/>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263"/>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263"/>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263"/>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263"/>
        </w:numPr>
      </w:pPr>
      <w:r>
        <w:t xml:space="preserve">Laptops and other devices issued to individuals may leave and return with their assigned user without a record of each trip, as long as they are recorded in the component inventory against that user. (PE-16a)</w:t>
      </w:r>
    </w:p>
    <w:bookmarkEnd w:id="348"/>
    <w:bookmarkStart w:id="353" w:name="alternate-work-site-pe-17"/>
    <w:p>
      <w:pPr>
        <w:pStyle w:val="Heading4"/>
      </w:pPr>
      <w:r>
        <w:t xml:space="preserve">Alternate work site (PE-17)</w:t>
      </w:r>
    </w:p>
    <w:p>
      <w:pPr>
        <w:pStyle w:val="Guidance"/>
      </w:pPr>
      <w:r>
        <w:t xml:space="preserve">PE-17 is in the Moderate and High baselines. NIST’s PE-17 discussion says alternate work sites include government facilities and employees’ private residences; that they are distinct from alternate processing sites but can serve as alternate locations during contingency operations; and that organizations can set different controls for different types of site. The controls here should match the</w:t>
      </w:r>
      <w:r>
        <w:t xml:space="preserve"> </w:t>
      </w:r>
      <w:hyperlink r:id="rId349">
        <w:r>
          <w:rPr>
            <w:rStyle w:val="Hyperlink"/>
          </w:rPr>
          <w:t xml:space="preserve">Rules of Behavior</w:t>
        </w:r>
      </w:hyperlink>
      <w:r>
        <w:t xml:space="preserve">, which every user signs, and the remote access requirements of the Access Control Policy (AC-17).</w:t>
      </w:r>
      <w:r>
        <w:t xml:space="preserve"> </w:t>
      </w:r>
      <w:hyperlink r:id="rId350">
        <w:r>
          <w:rPr>
            <w:rStyle w:val="Hyperlink"/>
          </w:rPr>
          <w:t xml:space="preserve">NIST SP 800-46 Rev. 2</w:t>
        </w:r>
      </w:hyperlink>
      <w:r>
        <w:t xml:space="preserve"> </w:t>
      </w:r>
      <w:r>
        <w:t xml:space="preserve">(July 2016), Guide to Enterprise Telework, Remote Access, and Bring Your Own Device (BYOD) Security, covers securing telework and remote access; Rev. 2 is the final version; a Rev. 3 pre-draft call for comments closed in October 2020, and csrc.nist.gov lists no later draft as of October 2026. Assessing effectiveness at homes is usually done through a self-assessment checklist and the endpoint management data for the devices used there, not site visits.</w:t>
      </w:r>
    </w:p>
    <w:p>
      <w:pPr>
        <w:pStyle w:val="Compact"/>
        <w:numPr>
          <w:ilvl w:val="0"/>
          <w:numId w:val="1264"/>
        </w:numPr>
      </w:pPr>
      <w:r>
        <w:t xml:space="preserve">The</w:t>
      </w:r>
      <w:r>
        <w:t xml:space="preserve"> </w:t>
      </w:r>
      <w:r>
        <w:rPr>
          <w:rStyle w:val="Fill-in"/>
        </w:rPr>
        <w:t xml:space="preserve">[Chief Information Security Officer]</w:t>
      </w:r>
      <w:r>
        <w:t xml:space="preserve"> </w:t>
      </w:r>
      <w:r>
        <w:t xml:space="preserve">shall determine and document</w:t>
      </w:r>
      <w:r>
        <w:t xml:space="preserve"> </w:t>
      </w:r>
      <w:r>
        <w:rPr>
          <w:rStyle w:val="Fill-in"/>
        </w:rPr>
        <w:t xml:space="preserve">[Fill in: alternate work sites allowed for use by employees. Typical: employees’ homes, under an approved telework agreement, and other organization facilities]</w:t>
      </w:r>
      <w:r>
        <w:t xml:space="preserve"> </w:t>
      </w:r>
      <w:r>
        <w:t xml:space="preserve">as the alternate work sites allowed for use by employees, and the</w:t>
      </w:r>
      <w:r>
        <w:t xml:space="preserve"> </w:t>
      </w:r>
      <w:r>
        <w:rPr>
          <w:rStyle w:val="Fill-in"/>
        </w:rPr>
        <w:t xml:space="preserve">[Supervisor]</w:t>
      </w:r>
      <w:r>
        <w:t xml:space="preserve"> </w:t>
      </w:r>
      <w:r>
        <w:t xml:space="preserve">shall approve each employee’s use of them. (PE-17a)</w:t>
      </w:r>
    </w:p>
    <w:p>
      <w:pPr>
        <w:pStyle w:val="Compact"/>
        <w:numPr>
          <w:ilvl w:val="0"/>
          <w:numId w:val="1264"/>
        </w:numPr>
      </w:pPr>
      <w:r>
        <w:t xml:space="preserve">The following controls shall be employed at alternate work sites:</w:t>
      </w:r>
      <w:r>
        <w:t xml:space="preserve"> </w:t>
      </w:r>
      <w:r>
        <w:rPr>
          <w:rStyle w:val="Fill-in"/>
        </w:rPr>
        <w:t xml:space="preserve">[Fill in: controls to be employed at alternate work sites. Typical: organization-issued devices, or personally owned devices the organization has approved and manages under its external system terms (AC-19, AC-20), connected through the approved remote access methods (AC-17), with full-disk encryption and screen lock (AC-11); a workspace where screens and conversations are not overseen or overheard; paper and media kept secured and not left unattended; and no printing of information not approved for public release on personal printers]</w:t>
      </w:r>
      <w:r>
        <w:t xml:space="preserve">. (PE-17b)</w:t>
      </w:r>
    </w:p>
    <w:p>
      <w:pPr>
        <w:pStyle w:val="Compact"/>
        <w:numPr>
          <w:ilvl w:val="0"/>
          <w:numId w:val="1264"/>
        </w:numPr>
      </w:pPr>
      <w:r>
        <w:t xml:space="preserve">The</w:t>
      </w:r>
      <w:r>
        <w:t xml:space="preserve"> </w:t>
      </w:r>
      <w:r>
        <w:rPr>
          <w:rStyle w:val="Fill-in"/>
        </w:rPr>
        <w:t xml:space="preserve">[Chief Information Security Officer]</w:t>
      </w:r>
      <w:r>
        <w:t xml:space="preserve"> </w:t>
      </w:r>
      <w:r>
        <w:t xml:space="preserve">shall assess the effectiveness of controls at alternate work sites at least annually, through an employee self-assessment and the device compliance data from endpoint management, and act on the gaps found. (PE-17c)</w:t>
      </w:r>
    </w:p>
    <w:p>
      <w:pPr>
        <w:pStyle w:val="Compact"/>
        <w:numPr>
          <w:ilvl w:val="0"/>
          <w:numId w:val="1264"/>
        </w:numPr>
      </w:pPr>
      <w:r>
        <w:t xml:space="preserve">The</w:t>
      </w:r>
      <w:r>
        <w:t xml:space="preserve"> </w:t>
      </w:r>
      <w:r>
        <w:rPr>
          <w:rStyle w:val="Fill-in"/>
        </w:rPr>
        <w:t xml:space="preserve">[Chief Information Security Officer]</w:t>
      </w:r>
      <w:r>
        <w:t xml:space="preserve"> </w:t>
      </w:r>
      <w:r>
        <w:t xml:space="preserve">shall provide a means for employees at alternate work sites to communicate with information security and privacy personnel in case of incidents, available at all hours, and employees shall report incidents through it as the Rules of Behavior require (IR-6). (PE-17d)</w:t>
      </w:r>
    </w:p>
    <w:bookmarkStart w:id="352" w:name="federal-systems-23"/>
    <w:p>
      <w:pPr>
        <w:pStyle w:val="Heading5"/>
      </w:pPr>
      <w:r>
        <w:t xml:space="preserve">Federal systems</w:t>
      </w:r>
    </w:p>
    <w:p>
      <w:pPr>
        <w:pStyle w:val="FirstParagraph"/>
      </w:pPr>
      <w:r>
        <w:t xml:space="preserve">Under</w:t>
      </w:r>
      <w:r>
        <w:t xml:space="preserve"> </w:t>
      </w:r>
      <w:hyperlink r:id="rId351">
        <w:r>
          <w:rPr>
            <w:rStyle w:val="Hyperlink"/>
          </w:rPr>
          <w:t xml:space="preserve">5 U.S.C. § 6502</w:t>
        </w:r>
      </w:hyperlink>
      <w:r>
        <w:t xml:space="preserve">, each executive agency’s telework policy must require a written agreement between an agency manager and each employee authorized to telework, outlining the specific work arrangement, which is mandatory for any employee to telework (subsection (b)(2)); must be part of the agency’s continuity of operations plans (subsection (b)(5)); and must enumerate when employees may temporarily work from approved overseas locations (subsection (b)(6)). Text checked in the United States Code, 2024 edition, as of October 2026.</w:t>
      </w:r>
    </w:p>
    <w:p>
      <w:pPr>
        <w:pStyle w:val="Compact"/>
        <w:numPr>
          <w:ilvl w:val="0"/>
          <w:numId w:val="1265"/>
        </w:numPr>
      </w:pPr>
      <w:r>
        <w:t xml:space="preserve">No employee shall telework without the written telework agreement 5 U.S.C. § 6502(b)(2) requires, and the agreement shall reference the alternate work site controls in this policy. (PE-17a)</w:t>
      </w:r>
    </w:p>
    <w:p>
      <w:pPr>
        <w:pStyle w:val="Compact"/>
        <w:numPr>
          <w:ilvl w:val="0"/>
          <w:numId w:val="1265"/>
        </w:numPr>
      </w:pPr>
      <w:r>
        <w:t xml:space="preserve">Work from an overseas location shall be allowed only in the circumstances the agency’s telework policy enumerates under 5 U.S.C. § 6502(b)(6). (PE-17a)</w:t>
      </w:r>
    </w:p>
    <w:bookmarkEnd w:id="352"/>
    <w:bookmarkEnd w:id="353"/>
    <w:bookmarkStart w:id="354" w:name="location-of-system-components-pe-18"/>
    <w:p>
      <w:pPr>
        <w:pStyle w:val="Heading4"/>
      </w:pPr>
      <w:r>
        <w:t xml:space="preserve">Location of system components (PE-18)</w:t>
      </w:r>
    </w:p>
    <w:p>
      <w:pPr>
        <w:pStyle w:val="Guidance"/>
      </w:pPr>
      <w:r>
        <w:t xml:space="preserve">PE-18 is in the High baseline. NIST’s PE-18 discussion lists physical and environmental hazards, including floods, fires, tornadoes, earthquakes, hurricanes, terrorism, vandalism, an electromagnetic pulse and electrical interference, and asks organizations to consider entry points where unauthorized individuals, though not granted access, might be near systems, which can increase the risk of interception with wireless sniffers or microphones. Server rooms on a basement level below a water source, or beside a public corridor or loading dock, are the usual examples.</w:t>
      </w:r>
    </w:p>
    <w:p>
      <w:pPr>
        <w:pStyle w:val="Compact"/>
        <w:numPr>
          <w:ilvl w:val="0"/>
          <w:numId w:val="1266"/>
        </w:numPr>
      </w:pPr>
      <w:r>
        <w:t xml:space="preserve">The</w:t>
      </w:r>
      <w:r>
        <w:t xml:space="preserve"> </w:t>
      </w:r>
      <w:r>
        <w:rPr>
          <w:rStyle w:val="Fill-in"/>
        </w:rPr>
        <w:t xml:space="preserve">[Facilities manager]</w:t>
      </w:r>
      <w:r>
        <w:t xml:space="preserve"> </w:t>
      </w:r>
      <w:r>
        <w:t xml:space="preserve">and the</w:t>
      </w:r>
      <w:r>
        <w:t xml:space="preserve"> </w:t>
      </w:r>
      <w:r>
        <w:rPr>
          <w:rStyle w:val="Fill-in"/>
        </w:rPr>
        <w:t xml:space="preserve">[System owner]</w:t>
      </w:r>
      <w:r>
        <w:t xml:space="preserve"> </w:t>
      </w:r>
      <w:r>
        <w:t xml:space="preserve">shall position system components within the facility to minimize potential damage from</w:t>
      </w:r>
      <w:r>
        <w:t xml:space="preserve"> </w:t>
      </w:r>
      <w:r>
        <w:rPr>
          <w:rStyle w:val="Fill-in"/>
        </w:rPr>
        <w:t xml:space="preserve">[Fill in: physical and environmental hazards that could result in potential damage to system components within the facility. Typical: flooding, fire, water leaks from pipes and cooling, power disturbances and electrical interference, and the other hazards the risk assessment identifies for the site]</w:t>
      </w:r>
      <w:r>
        <w:t xml:space="preserve"> </w:t>
      </w:r>
      <w:r>
        <w:t xml:space="preserve">and to minimize the opportunity for unauthorized access. (PE-18)</w:t>
      </w:r>
    </w:p>
    <w:p>
      <w:pPr>
        <w:pStyle w:val="Compact"/>
        <w:numPr>
          <w:ilvl w:val="0"/>
          <w:numId w:val="1266"/>
        </w:numPr>
      </w:pPr>
      <w:r>
        <w:t xml:space="preserve">Areas that contain system components shall not adjoin public areas, delivery areas or exterior walls at ground level where an alternative exists, and the reasons for any exception shall be recorded with the risk assessment (RA-3). (PE-18)</w:t>
      </w:r>
    </w:p>
    <w:bookmarkEnd w:id="354"/>
    <w:bookmarkEnd w:id="355"/>
    <w:bookmarkStart w:id="366" w:name="planning-pl"/>
    <w:p>
      <w:pPr>
        <w:pStyle w:val="Heading3"/>
      </w:pPr>
      <w:r>
        <w:t xml:space="preserve">Planning (PL)</w:t>
      </w:r>
    </w:p>
    <w:bookmarkStart w:id="357" w:name="system-security-and-privacy-plans-pl-2"/>
    <w:p>
      <w:pPr>
        <w:pStyle w:val="Heading4"/>
      </w:pPr>
      <w:r>
        <w:t xml:space="preserve">System security and privacy plans (PL-2)</w:t>
      </w:r>
    </w:p>
    <w:p>
      <w:pPr>
        <w:pStyle w:val="Guidance"/>
      </w:pPr>
      <w:r>
        <w:t xml:space="preserve">PL-2 lists fifteen things a system’s security and privacy plans must contain. The</w:t>
      </w:r>
      <w:r>
        <w:t xml:space="preserve"> </w:t>
      </w:r>
      <w:hyperlink r:id="rId356">
        <w:r>
          <w:rPr>
            <w:rStyle w:val="Hyperlink"/>
          </w:rPr>
          <w:t xml:space="preserve">System Security Plan template</w:t>
        </w:r>
      </w:hyperlink>
      <w:r>
        <w:t xml:space="preserve"> </w:t>
      </w:r>
      <w:r>
        <w:t xml:space="preserve">has a section for each, so the statements below require the plan and point to its contents rather than repeating all fifteen. A system that processes personally identifiable information can keep its privacy plan as part of the security plan or as a separate document; either way, both must meet PL-2.</w:t>
      </w:r>
    </w:p>
    <w:p>
      <w:pPr>
        <w:pStyle w:val="Compact"/>
        <w:numPr>
          <w:ilvl w:val="0"/>
          <w:numId w:val="1267"/>
        </w:numPr>
      </w:pPr>
      <w:r>
        <w:t xml:space="preserve">Each</w:t>
      </w:r>
      <w:r>
        <w:t xml:space="preserve"> </w:t>
      </w:r>
      <w:r>
        <w:rPr>
          <w:rStyle w:val="Fill-in"/>
        </w:rPr>
        <w:t xml:space="preserve">[System owner]</w:t>
      </w:r>
      <w:r>
        <w:t xml:space="preserve"> </w:t>
      </w:r>
      <w:r>
        <w:t xml:space="preserve">shall develop a security plan and a privacy plan for the system, as one document or two, that contain every element PL-2a.1 to a.14 lists. (PL-2a)</w:t>
      </w:r>
    </w:p>
    <w:p>
      <w:pPr>
        <w:pStyle w:val="Compact"/>
        <w:numPr>
          <w:ilvl w:val="0"/>
          <w:numId w:val="1267"/>
        </w:numPr>
      </w:pPr>
      <w:r>
        <w:t xml:space="preserve">The plans shall identify the security- and privacy-related activities affecting the system that require planning and coordination with</w:t>
      </w:r>
      <w:r>
        <w:t xml:space="preserve"> </w:t>
      </w:r>
      <w:r>
        <w:rPr>
          <w:rStyle w:val="Fill-in"/>
        </w:rPr>
        <w:t xml:space="preserve">[Fill in: individuals or groups with whom security and privacy-related activities affecting the system that require planning and coordination. Typical: the system’s stakeholders, the common control providers, and the security and privacy teams]</w:t>
      </w:r>
      <w:r>
        <w:t xml:space="preserve">. (PL-2a.14)</w:t>
      </w:r>
    </w:p>
    <w:p>
      <w:pPr>
        <w:pStyle w:val="Compact"/>
        <w:numPr>
          <w:ilvl w:val="0"/>
          <w:numId w:val="1267"/>
        </w:numPr>
      </w:pPr>
      <w:r>
        <w:t xml:space="preserve">The</w:t>
      </w:r>
      <w:r>
        <w:t xml:space="preserve"> </w:t>
      </w:r>
      <w:r>
        <w:rPr>
          <w:rStyle w:val="Fill-in"/>
        </w:rPr>
        <w:t xml:space="preserve">[System owner]</w:t>
      </w:r>
      <w:r>
        <w:t xml:space="preserve"> </w:t>
      </w:r>
      <w:r>
        <w:t xml:space="preserve">shall have the plans reviewed and approved by the authorizing official, or a designated representative, before the plans are implemented. (PL-2a.15)</w:t>
      </w:r>
    </w:p>
    <w:p>
      <w:pPr>
        <w:pStyle w:val="Compact"/>
        <w:numPr>
          <w:ilvl w:val="0"/>
          <w:numId w:val="1267"/>
        </w:numPr>
      </w:pPr>
      <w:r>
        <w:t xml:space="preserve">The</w:t>
      </w:r>
      <w:r>
        <w:t xml:space="preserve"> </w:t>
      </w:r>
      <w:r>
        <w:rPr>
          <w:rStyle w:val="Fill-in"/>
        </w:rPr>
        <w:t xml:space="preserve">[System owner]</w:t>
      </w:r>
      <w:r>
        <w:t xml:space="preserve"> </w:t>
      </w:r>
      <w:r>
        <w:t xml:space="preserve">shall distribute copies of the plans, and communicate later changes to them, to</w:t>
      </w:r>
      <w:r>
        <w:t xml:space="preserve"> </w:t>
      </w:r>
      <w:r>
        <w:rPr>
          <w:rStyle w:val="Fill-in"/>
        </w:rPr>
        <w:t xml:space="preserve">[Fill in: personnel or roles to receive distributed copies of the system security and privacy plans. Typical: the authorizing official, the system owner, the system security officer and the assessor]</w:t>
      </w:r>
      <w:r>
        <w:t xml:space="preserve">. (PL-2b)</w:t>
      </w:r>
    </w:p>
    <w:p>
      <w:pPr>
        <w:pStyle w:val="Compact"/>
        <w:numPr>
          <w:ilvl w:val="0"/>
          <w:numId w:val="1267"/>
        </w:numPr>
      </w:pPr>
      <w:r>
        <w:t xml:space="preserve">The</w:t>
      </w:r>
      <w:r>
        <w:t xml:space="preserve"> </w:t>
      </w:r>
      <w:r>
        <w:rPr>
          <w:rStyle w:val="Fill-in"/>
        </w:rPr>
        <w:t xml:space="preserve">[System owner]</w:t>
      </w:r>
      <w:r>
        <w:t xml:space="preserve"> </w:t>
      </w:r>
      <w:r>
        <w:t xml:space="preserve">shall review the plans</w:t>
      </w:r>
      <w:r>
        <w:t xml:space="preserve"> </w:t>
      </w:r>
      <w:r>
        <w:rPr>
          <w:rStyle w:val="Fill-in"/>
        </w:rPr>
        <w:t xml:space="preserve">[Fill in: frequency to review system security and privacy plans. Typical: annually]</w:t>
      </w:r>
      <w:r>
        <w:t xml:space="preserve">. (PL-2c)</w:t>
      </w:r>
    </w:p>
    <w:p>
      <w:pPr>
        <w:pStyle w:val="Compact"/>
        <w:numPr>
          <w:ilvl w:val="0"/>
          <w:numId w:val="1267"/>
        </w:numPr>
      </w:pPr>
      <w:r>
        <w:t xml:space="preserve">The</w:t>
      </w:r>
      <w:r>
        <w:t xml:space="preserve"> </w:t>
      </w:r>
      <w:r>
        <w:rPr>
          <w:rStyle w:val="Fill-in"/>
        </w:rPr>
        <w:t xml:space="preserve">[System owner]</w:t>
      </w:r>
      <w:r>
        <w:t xml:space="preserve"> </w:t>
      </w:r>
      <w:r>
        <w:t xml:space="preserve">shall update the plans to address changes to the system and its environment of operation, and problems found during plan implementation or control assessments. (PL-2d)</w:t>
      </w:r>
    </w:p>
    <w:p>
      <w:pPr>
        <w:pStyle w:val="Compact"/>
        <w:numPr>
          <w:ilvl w:val="0"/>
          <w:numId w:val="1267"/>
        </w:numPr>
      </w:pPr>
      <w:r>
        <w:t xml:space="preserve">The</w:t>
      </w:r>
      <w:r>
        <w:t xml:space="preserve"> </w:t>
      </w:r>
      <w:r>
        <w:rPr>
          <w:rStyle w:val="Fill-in"/>
        </w:rPr>
        <w:t xml:space="preserve">[System owner]</w:t>
      </w:r>
      <w:r>
        <w:t xml:space="preserve"> </w:t>
      </w:r>
      <w:r>
        <w:t xml:space="preserve">shall protect the plans from unauthorized disclosure and modification. (PL-2e)</w:t>
      </w:r>
    </w:p>
    <w:bookmarkEnd w:id="357"/>
    <w:bookmarkStart w:id="358" w:name="rules-of-behavior-pl-4"/>
    <w:p>
      <w:pPr>
        <w:pStyle w:val="Heading4"/>
      </w:pPr>
      <w:r>
        <w:t xml:space="preserve">Rules of behavior (PL-4)</w:t>
      </w:r>
    </w:p>
    <w:p>
      <w:pPr>
        <w:pStyle w:val="Guidance"/>
      </w:pPr>
      <w:r>
        <w:t xml:space="preserve">The</w:t>
      </w:r>
      <w:r>
        <w:t xml:space="preserve"> </w:t>
      </w:r>
      <w:hyperlink r:id="rId349">
        <w:r>
          <w:rPr>
            <w:rStyle w:val="Hyperlink"/>
          </w:rPr>
          <w:t xml:space="preserve">Rules of Behavior template</w:t>
        </w:r>
      </w:hyperlink>
      <w:r>
        <w:t xml:space="preserve"> </w:t>
      </w:r>
      <w:r>
        <w:t xml:space="preserve">gives the rules, a signature block and a register of acknowledgments. Assessors sample new accounts and check that each acknowledgment is dated before access was granted.</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establish rules that describe the responsibilities and expected behavior of individuals for information and system usage, security and privacy. (PL-4a)</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provide the rules to each individual who requires access to the system. (PL-4a)</w:t>
      </w:r>
    </w:p>
    <w:p>
      <w:pPr>
        <w:pStyle w:val="Compact"/>
        <w:numPr>
          <w:ilvl w:val="0"/>
          <w:numId w:val="1268"/>
        </w:numPr>
      </w:pPr>
      <w:r>
        <w:t xml:space="preserve">The</w:t>
      </w:r>
      <w:r>
        <w:t xml:space="preserve"> </w:t>
      </w:r>
      <w:r>
        <w:rPr>
          <w:rStyle w:val="Fill-in"/>
        </w:rPr>
        <w:t xml:space="preserve">[Account manager]</w:t>
      </w:r>
      <w:r>
        <w:t xml:space="preserve"> </w:t>
      </w:r>
      <w:r>
        <w:t xml:space="preserve">shall receive a documented acknowledgment from each individual, stating that they have read, understand and agree to abide by the rules, before authorizing access to information and the system. (PL-4b)</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review and update the rules of behavior</w:t>
      </w:r>
      <w:r>
        <w:t xml:space="preserve"> </w:t>
      </w:r>
      <w:r>
        <w:rPr>
          <w:rStyle w:val="Fill-in"/>
        </w:rPr>
        <w:t xml:space="preserve">[Fill in: frequency for reviewing and updating the rules of behavior. Typical: annually]</w:t>
      </w:r>
      <w:r>
        <w:t xml:space="preserve">. (PL-4c)</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require individuals who acknowledged a previous version of the rules to read and re-acknowledge them</w:t>
      </w:r>
      <w:r>
        <w:t xml:space="preserve"> </w:t>
      </w:r>
      <w:r>
        <w:rPr>
          <w:rStyle w:val="Fill-in"/>
        </w:rPr>
        <w:t xml:space="preserve">[Select one or more: [Assignment: organization-defined frequency]; when the rules are revised or updated. Typical: annually, and when the rules are revised or updated]</w:t>
      </w:r>
      <w:r>
        <w:t xml:space="preserve">. (PL-4d)</w:t>
      </w:r>
    </w:p>
    <w:bookmarkEnd w:id="358"/>
    <w:bookmarkStart w:id="359" w:name="X3f2661dbd3565abe5da19344e4a6a2347ebad27"/>
    <w:p>
      <w:pPr>
        <w:pStyle w:val="Heading4"/>
      </w:pPr>
      <w:r>
        <w:t xml:space="preserve">Social media and external site and application usage restrictions (PL-4(1))</w:t>
      </w:r>
    </w:p>
    <w:p>
      <w:pPr>
        <w:pStyle w:val="Compact"/>
        <w:numPr>
          <w:ilvl w:val="0"/>
          <w:numId w:val="1269"/>
        </w:numPr>
      </w:pPr>
      <w:r>
        <w:t xml:space="preserve">The rules of behavior shall restrict the use of social media, social networking sites, and external sites and applications. (PL-4(1)(a))</w:t>
      </w:r>
    </w:p>
    <w:p>
      <w:pPr>
        <w:pStyle w:val="Compact"/>
        <w:numPr>
          <w:ilvl w:val="0"/>
          <w:numId w:val="1269"/>
        </w:numPr>
      </w:pPr>
      <w:r>
        <w:t xml:space="preserve">The rules of behavior shall restrict the posting of organizational information on public websites. (PL-4(1)(b))</w:t>
      </w:r>
    </w:p>
    <w:p>
      <w:pPr>
        <w:pStyle w:val="Compact"/>
        <w:numPr>
          <w:ilvl w:val="0"/>
          <w:numId w:val="1269"/>
        </w:numPr>
      </w:pPr>
      <w:r>
        <w:t xml:space="preserve">The rules of behavior shall restrict the use of organization-provided identifiers, such as email addresses, and authentication secrets, such as passwords, to create accounts on external sites and applications. (PL-4(1)(c))</w:t>
      </w:r>
    </w:p>
    <w:bookmarkEnd w:id="359"/>
    <w:bookmarkStart w:id="360" w:name="security-and-privacy-architectures-pl-8"/>
    <w:p>
      <w:pPr>
        <w:pStyle w:val="Heading4"/>
      </w:pPr>
      <w:r>
        <w:t xml:space="preserve">Security and privacy architectures (PL-8)</w:t>
      </w:r>
    </w:p>
    <w:p>
      <w:pPr>
        <w:pStyle w:val="Guidance"/>
      </w:pPr>
      <w:r>
        <w:t xml:space="preserve">The architectures describe how the system is built to protect information and to limit privacy risk: the protection approach, the trust boundaries, and what the system assumes about the services it relies on. Most systems keep them as a section of the system security plan with a diagram, rather than as a separate document.</w:t>
      </w:r>
    </w:p>
    <w:p>
      <w:pPr>
        <w:pStyle w:val="Compact"/>
        <w:numPr>
          <w:ilvl w:val="0"/>
          <w:numId w:val="1270"/>
        </w:numPr>
      </w:pPr>
      <w:r>
        <w:t xml:space="preserve">Each</w:t>
      </w:r>
      <w:r>
        <w:t xml:space="preserve"> </w:t>
      </w:r>
      <w:r>
        <w:rPr>
          <w:rStyle w:val="Fill-in"/>
        </w:rPr>
        <w:t xml:space="preserve">[System owner]</w:t>
      </w:r>
      <w:r>
        <w:t xml:space="preserve"> </w:t>
      </w:r>
      <w:r>
        <w:t xml:space="preserve">shall develop a security architecture and a privacy architecture for the system. (PL-8a)</w:t>
      </w:r>
    </w:p>
    <w:p>
      <w:pPr>
        <w:pStyle w:val="Compact"/>
        <w:numPr>
          <w:ilvl w:val="0"/>
          <w:numId w:val="1270"/>
        </w:numPr>
      </w:pPr>
      <w:r>
        <w:t xml:space="preserve">The architectures shall describe the requirements and approach for protecting the confidentiality, integrity and availability of organizational information. (PL-8a.1)</w:t>
      </w:r>
    </w:p>
    <w:p>
      <w:pPr>
        <w:pStyle w:val="Compact"/>
        <w:numPr>
          <w:ilvl w:val="0"/>
          <w:numId w:val="1270"/>
        </w:numPr>
      </w:pPr>
      <w:r>
        <w:t xml:space="preserve">The architectures shall describe the requirements and approach for processing personally identifiable information so as to minimize privacy risk to individuals. (PL-8a.2)</w:t>
      </w:r>
    </w:p>
    <w:p>
      <w:pPr>
        <w:pStyle w:val="Compact"/>
        <w:numPr>
          <w:ilvl w:val="0"/>
          <w:numId w:val="1270"/>
        </w:numPr>
      </w:pPr>
      <w:r>
        <w:t xml:space="preserve">The architectures shall describe how they are integrated into and support the enterprise architecture. (PL-8a.3)</w:t>
      </w:r>
    </w:p>
    <w:p>
      <w:pPr>
        <w:pStyle w:val="Compact"/>
        <w:numPr>
          <w:ilvl w:val="0"/>
          <w:numId w:val="1270"/>
        </w:numPr>
      </w:pPr>
      <w:r>
        <w:t xml:space="preserve">The architectures shall describe any assumptions about, and dependencies on, external systems and services. (PL-8a.4)</w:t>
      </w:r>
    </w:p>
    <w:p>
      <w:pPr>
        <w:pStyle w:val="Compact"/>
        <w:numPr>
          <w:ilvl w:val="0"/>
          <w:numId w:val="1270"/>
        </w:numPr>
      </w:pPr>
      <w:r>
        <w:t xml:space="preserve">The</w:t>
      </w:r>
      <w:r>
        <w:t xml:space="preserve"> </w:t>
      </w:r>
      <w:r>
        <w:rPr>
          <w:rStyle w:val="Fill-in"/>
        </w:rPr>
        <w:t xml:space="preserve">[System owner]</w:t>
      </w:r>
      <w:r>
        <w:t xml:space="preserve"> </w:t>
      </w:r>
      <w:r>
        <w:t xml:space="preserve">shall review and update the architectures</w:t>
      </w:r>
      <w:r>
        <w:t xml:space="preserve"> </w:t>
      </w:r>
      <w:r>
        <w:rPr>
          <w:rStyle w:val="Fill-in"/>
        </w:rPr>
        <w:t xml:space="preserve">[Fill in: frequency for review and update to reflect changes in the enterprise architecture. Typical: annually, and whenever the enterprise architecture changes]</w:t>
      </w:r>
      <w:r>
        <w:t xml:space="preserve"> </w:t>
      </w:r>
      <w:r>
        <w:t xml:space="preserve">to reflect changes in the enterprise architecture. (PL-8b)</w:t>
      </w:r>
    </w:p>
    <w:p>
      <w:pPr>
        <w:pStyle w:val="Compact"/>
        <w:numPr>
          <w:ilvl w:val="0"/>
          <w:numId w:val="1270"/>
        </w:numPr>
      </w:pPr>
      <w:r>
        <w:t xml:space="preserve">The</w:t>
      </w:r>
      <w:r>
        <w:t xml:space="preserve"> </w:t>
      </w:r>
      <w:r>
        <w:rPr>
          <w:rStyle w:val="Fill-in"/>
        </w:rPr>
        <w:t xml:space="preserve">[System owner]</w:t>
      </w:r>
      <w:r>
        <w:t xml:space="preserve"> </w:t>
      </w:r>
      <w:r>
        <w:t xml:space="preserve">shall reflect planned architecture changes in the security and privacy plans, the concept of operations, the criticality analysis, organizational procedures, and procurements and acquisitions. (PL-8c)</w:t>
      </w:r>
    </w:p>
    <w:bookmarkEnd w:id="360"/>
    <w:bookmarkStart w:id="364" w:name="baseline-selection-pl-10"/>
    <w:p>
      <w:pPr>
        <w:pStyle w:val="Heading4"/>
      </w:pPr>
      <w:r>
        <w:t xml:space="preserve">Baseline selection (PL-10)</w:t>
      </w:r>
    </w:p>
    <w:p>
      <w:pPr>
        <w:pStyle w:val="Guidance"/>
      </w:pPr>
      <w:r>
        <w:t xml:space="preserve">Pick the baseline from the system’s security categorization: SP 800-53B defines Low, Moderate and High security baselines and a Privacy baseline. Record the choice, and any overlay applied, in the system security plan (PL-2a.11).</w:t>
      </w:r>
    </w:p>
    <w:p>
      <w:pPr>
        <w:pStyle w:val="Compact"/>
        <w:numPr>
          <w:ilvl w:val="0"/>
          <w:numId w:val="1271"/>
        </w:numPr>
      </w:pPr>
      <w:r>
        <w:t xml:space="preserve">Each</w:t>
      </w:r>
      <w:r>
        <w:t xml:space="preserve"> </w:t>
      </w:r>
      <w:r>
        <w:rPr>
          <w:rStyle w:val="Fill-in"/>
        </w:rPr>
        <w:t xml:space="preserve">[System owner]</w:t>
      </w:r>
      <w:r>
        <w:t xml:space="preserve"> </w:t>
      </w:r>
      <w:r>
        <w:t xml:space="preserve">shall select a control baseline for the system, based on its security categorization, and record the selection in the system security plan. (PL-10)</w:t>
      </w:r>
    </w:p>
    <w:p>
      <w:pPr>
        <w:pStyle w:val="Compact"/>
        <w:numPr>
          <w:ilvl w:val="0"/>
          <w:numId w:val="1271"/>
        </w:numPr>
      </w:pPr>
      <w:r>
        <w:t xml:space="preserve">A system that processes personally identifiable information shall also apply the privacy control baseline. (PL-10)</w:t>
      </w:r>
    </w:p>
    <w:bookmarkStart w:id="363" w:name="federal-systems-24"/>
    <w:p>
      <w:pPr>
        <w:pStyle w:val="Heading5"/>
      </w:pPr>
      <w:r>
        <w:t xml:space="preserve">Federal systems</w:t>
      </w:r>
    </w:p>
    <w:p>
      <w:pPr>
        <w:pStyle w:val="FirstParagraph"/>
      </w:pPr>
      <w:r>
        <w:t xml:space="preserve">Federal systems select the SP 800-53B security baseline that matches the system’s impact level: the highest impact level for confidentiality, integrity and availability under</w:t>
      </w:r>
      <w:r>
        <w:t xml:space="preserve"> </w:t>
      </w:r>
      <w:hyperlink r:id="rId361">
        <w:r>
          <w:rPr>
            <w:rStyle w:val="Hyperlink"/>
          </w:rPr>
          <w:t xml:space="preserve">FIPS 199</w:t>
        </w:r>
      </w:hyperlink>
      <w:r>
        <w:t xml:space="preserve">, as</w:t>
      </w:r>
      <w:r>
        <w:t xml:space="preserve"> </w:t>
      </w:r>
      <w:hyperlink r:id="rId362">
        <w:r>
          <w:rPr>
            <w:rStyle w:val="Hyperlink"/>
          </w:rPr>
          <w:t xml:space="preserve">FIPS 200</w:t>
        </w:r>
      </w:hyperlink>
      <w:r>
        <w:t xml:space="preserve"> </w:t>
      </w:r>
      <w:r>
        <w:t xml:space="preserve">specifies.</w:t>
      </w:r>
    </w:p>
    <w:p>
      <w:pPr>
        <w:pStyle w:val="Compact"/>
        <w:numPr>
          <w:ilvl w:val="0"/>
          <w:numId w:val="1272"/>
        </w:numPr>
      </w:pPr>
      <w:r>
        <w:t xml:space="preserve">The</w:t>
      </w:r>
      <w:r>
        <w:t xml:space="preserve"> </w:t>
      </w:r>
      <w:r>
        <w:rPr>
          <w:rStyle w:val="Fill-in"/>
        </w:rPr>
        <w:t xml:space="preserve">[System owner]</w:t>
      </w:r>
      <w:r>
        <w:t xml:space="preserve"> </w:t>
      </w:r>
      <w:r>
        <w:t xml:space="preserve">shall select the baseline that matches the system’s FIPS 199 impact level. (PL-10)</w:t>
      </w:r>
    </w:p>
    <w:bookmarkEnd w:id="363"/>
    <w:bookmarkEnd w:id="364"/>
    <w:bookmarkStart w:id="365" w:name="baseline-tailoring-pl-11"/>
    <w:p>
      <w:pPr>
        <w:pStyle w:val="Heading4"/>
      </w:pPr>
      <w:r>
        <w:t xml:space="preserve">Baseline tailoring (PL-11)</w:t>
      </w:r>
    </w:p>
    <w:p>
      <w:pPr>
        <w:pStyle w:val="Guidance"/>
      </w:pPr>
      <w:r>
        <w:t xml:space="preserve">Tailoring adjusts the baseline to the system: identifying common controls, scoping out controls that do not apply, setting parameter values, adding controls for specific threats, and applying overlays. Assessors look for a documented reason for every control removed or marked not applicable.</w:t>
      </w:r>
    </w:p>
    <w:p>
      <w:pPr>
        <w:pStyle w:val="Compact"/>
        <w:numPr>
          <w:ilvl w:val="0"/>
          <w:numId w:val="1273"/>
        </w:numPr>
      </w:pPr>
      <w:r>
        <w:t xml:space="preserve">Each</w:t>
      </w:r>
      <w:r>
        <w:t xml:space="preserve"> </w:t>
      </w:r>
      <w:r>
        <w:rPr>
          <w:rStyle w:val="Fill-in"/>
        </w:rPr>
        <w:t xml:space="preserve">[System owner]</w:t>
      </w:r>
      <w:r>
        <w:t xml:space="preserve"> </w:t>
      </w:r>
      <w:r>
        <w:t xml:space="preserve">shall tailor the selected control baseline by applying specified tailoring actions. (PL-11)</w:t>
      </w:r>
    </w:p>
    <w:p>
      <w:pPr>
        <w:pStyle w:val="Compact"/>
        <w:numPr>
          <w:ilvl w:val="0"/>
          <w:numId w:val="1273"/>
        </w:numPr>
      </w:pPr>
      <w:r>
        <w:t xml:space="preserve">The</w:t>
      </w:r>
      <w:r>
        <w:t xml:space="preserve"> </w:t>
      </w:r>
      <w:r>
        <w:rPr>
          <w:rStyle w:val="Fill-in"/>
        </w:rPr>
        <w:t xml:space="preserve">[System owner]</w:t>
      </w:r>
      <w:r>
        <w:t xml:space="preserve"> </w:t>
      </w:r>
      <w:r>
        <w:t xml:space="preserve">shall document each tailoring decision, with its rationale, in the system security plan, and have the authorizing official approve it with the plan. (PL-11)</w:t>
      </w:r>
    </w:p>
    <w:bookmarkEnd w:id="365"/>
    <w:bookmarkEnd w:id="366"/>
    <w:bookmarkStart w:id="424" w:name="program-management-pm"/>
    <w:p>
      <w:pPr>
        <w:pStyle w:val="Heading3"/>
      </w:pPr>
      <w:r>
        <w:t xml:space="preserve">Program Management (PM)</w:t>
      </w:r>
    </w:p>
    <w:bookmarkStart w:id="368" w:name="information-security-program-plan-pm-1"/>
    <w:p>
      <w:pPr>
        <w:pStyle w:val="Heading4"/>
      </w:pPr>
      <w:r>
        <w:t xml:space="preserve">Information security program plan (PM-1)</w:t>
      </w:r>
    </w:p>
    <w:p>
      <w:pPr>
        <w:pStyle w:val="Guidance"/>
      </w:pPr>
      <w:r>
        <w:t xml:space="preserve">Assessors ask to see the approved plan, its approval date and evidence of the last review. A plan can be one document or a set of documents, as long as the set is identified. The plan lists the common controls the program provides, so system owners can mark them as inherited in each system security plan.</w:t>
      </w:r>
    </w:p>
    <w:p>
      <w:pPr>
        <w:pStyle w:val="Compact"/>
        <w:numPr>
          <w:ilvl w:val="0"/>
          <w:numId w:val="1274"/>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274"/>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274"/>
        </w:numPr>
      </w:pPr>
      <w:r>
        <w:t xml:space="preserve">The plan shall identify and assign roles and responsibilities, and describe management commitment, coordination among organizational entities, and compliance. (PM-1a.2)</w:t>
      </w:r>
    </w:p>
    <w:p>
      <w:pPr>
        <w:pStyle w:val="Compact"/>
        <w:numPr>
          <w:ilvl w:val="0"/>
          <w:numId w:val="1274"/>
        </w:numPr>
      </w:pPr>
      <w:r>
        <w:t xml:space="preserve">The plan shall reflect the coordination among the organizational entities responsible for information security. (PM-1a.3)</w:t>
      </w:r>
    </w:p>
    <w:p>
      <w:pPr>
        <w:pStyle w:val="Compact"/>
        <w:numPr>
          <w:ilvl w:val="0"/>
          <w:numId w:val="1274"/>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274"/>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274"/>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274"/>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Start w:id="367" w:name="federal-systems-25"/>
    <w:p>
      <w:pPr>
        <w:pStyle w:val="Heading5"/>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76">
        <w:r>
          <w:rPr>
            <w:rStyle w:val="Hyperlink"/>
          </w:rPr>
          <w:t xml:space="preserve">44 U.S.C. § 3554(b)</w:t>
        </w:r>
      </w:hyperlink>
      <w:r>
        <w:t xml:space="preserve">) and</w:t>
      </w:r>
      <w:r>
        <w:t xml:space="preserve"> </w:t>
      </w:r>
      <w:hyperlink r:id="rId77">
        <w:r>
          <w:rPr>
            <w:rStyle w:val="Hyperlink"/>
          </w:rPr>
          <w:t xml:space="preserve">OMB Circular A-130</w:t>
        </w:r>
      </w:hyperlink>
      <w:r>
        <w:t xml:space="preserve">, Appendix I, Responsibilities for Protecting and Managing Federal Information Resources.</w:t>
      </w:r>
    </w:p>
    <w:p>
      <w:pPr>
        <w:pStyle w:val="Compact"/>
        <w:numPr>
          <w:ilvl w:val="0"/>
          <w:numId w:val="1275"/>
        </w:numPr>
      </w:pPr>
      <w:r>
        <w:t xml:space="preserve">The program plan shall carry out the agency-wide information security program that 44 U.S.C. § 3554(b) requires. (PM-1a)</w:t>
      </w:r>
    </w:p>
    <w:bookmarkEnd w:id="367"/>
    <w:bookmarkEnd w:id="368"/>
    <w:bookmarkStart w:id="370" w:name="Xc2c9d760733e0b663fcb078fdf1efa39c7f55d5"/>
    <w:p>
      <w:pPr>
        <w:pStyle w:val="Heading4"/>
      </w:pPr>
      <w:r>
        <w:t xml:space="preserve">Information security program leadership role (PM-2)</w:t>
      </w:r>
    </w:p>
    <w:p>
      <w:pPr>
        <w:pStyle w:val="Guidance"/>
      </w:pPr>
      <w:r>
        <w:t xml:space="preserve">PM-2 asks for one named senior official who owns the security program. Assessors look for the appointment in writing (a delegation memo or charter) and for evidence that the official has budget and staff, not just a title.</w:t>
      </w:r>
    </w:p>
    <w:p>
      <w:pPr>
        <w:pStyle w:val="Compact"/>
        <w:numPr>
          <w:ilvl w:val="0"/>
          <w:numId w:val="1276"/>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276"/>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369" w:name="federal-systems-26"/>
    <w:p>
      <w:pPr>
        <w:pStyle w:val="Heading5"/>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76">
        <w:r>
          <w:rPr>
            <w:rStyle w:val="Hyperlink"/>
          </w:rPr>
          <w:t xml:space="preserve">44 U.S.C. § 3554(a)(3)(A)</w:t>
        </w:r>
      </w:hyperlink>
      <w:r>
        <w:t xml:space="preserve">).</w:t>
      </w:r>
    </w:p>
    <w:p>
      <w:pPr>
        <w:pStyle w:val="Compact"/>
        <w:numPr>
          <w:ilvl w:val="0"/>
          <w:numId w:val="1277"/>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369"/>
    <w:bookmarkEnd w:id="370"/>
    <w:bookmarkStart w:id="371" w:name="Xfcec5071c9897bbc6d64892dc0e175744cab35d"/>
    <w:p>
      <w:pPr>
        <w:pStyle w:val="Heading4"/>
      </w:pPr>
      <w:r>
        <w:t xml:space="preserve">Information security and privacy resources (PM-3)</w:t>
      </w:r>
    </w:p>
    <w:p>
      <w:pPr>
        <w:pStyle w:val="Guidance"/>
      </w:pPr>
      <w:r>
        <w:t xml:space="preserve">PM-3 ties the programs to the budget. Evidence is the security and privacy line items in each capital planning or investment request, and a record of any request that left them out and why.</w:t>
      </w:r>
    </w:p>
    <w:p>
      <w:pPr>
        <w:pStyle w:val="Compact"/>
        <w:numPr>
          <w:ilvl w:val="0"/>
          <w:numId w:val="127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278"/>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27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278"/>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371"/>
    <w:bookmarkStart w:id="372" w:name="X1bad626ab0d953715de5fbd154806c87772e1ac"/>
    <w:p>
      <w:pPr>
        <w:pStyle w:val="Heading4"/>
      </w:pPr>
      <w:r>
        <w:t xml:space="preserve">Plan of action and milestones process (PM-4)</w:t>
      </w:r>
    </w:p>
    <w:p>
      <w:pPr>
        <w:pStyle w:val="Guidance"/>
      </w:pPr>
      <w:r>
        <w:t xml:space="preserve">PM-4 is the organization-level process; CA-5 is each system’s plan of action and milestones (POA&amp;M). Use one format across systems, such as the</w:t>
      </w:r>
      <w:r>
        <w:t xml:space="preserve"> </w:t>
      </w:r>
      <w:hyperlink r:id="rId132">
        <w:r>
          <w:rPr>
            <w:rStyle w:val="Hyperlink"/>
          </w:rPr>
          <w:t xml:space="preserve">POA&amp;M template</w:t>
        </w:r>
      </w:hyperlink>
      <w:r>
        <w:t xml:space="preserve">, so the program can roll items up and compare them against the risk management strategy.</w:t>
      </w:r>
    </w:p>
    <w:p>
      <w:pPr>
        <w:pStyle w:val="Compact"/>
        <w:numPr>
          <w:ilvl w:val="0"/>
          <w:numId w:val="1279"/>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279"/>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279"/>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279"/>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372"/>
    <w:bookmarkStart w:id="376" w:name="system-inventory-pm-5"/>
    <w:p>
      <w:pPr>
        <w:pStyle w:val="Heading4"/>
      </w:pPr>
      <w:r>
        <w:t xml:space="preserve">System inventory (PM-5)</w:t>
      </w:r>
    </w:p>
    <w:p>
      <w:pPr>
        <w:pStyle w:val="Guidance"/>
      </w:pPr>
      <w:r>
        <w:t xml:space="preserve">The system inventory is the list of systems the program is responsible for: each with an owner, a categorization, an authorization status and its boundary. CM-8 is the component inventory inside each system. Start from the</w:t>
      </w:r>
      <w:r>
        <w:t xml:space="preserve"> </w:t>
      </w:r>
      <w:hyperlink r:id="rId373">
        <w:r>
          <w:rPr>
            <w:rStyle w:val="Hyperlink"/>
          </w:rPr>
          <w:t xml:space="preserve">System Inventory template</w:t>
        </w:r>
      </w:hyperlink>
      <w:r>
        <w:t xml:space="preserve">. An assessor compares the inventory with the authorization records, so keep both in step.</w:t>
      </w:r>
    </w:p>
    <w:p>
      <w:pPr>
        <w:pStyle w:val="Compact"/>
        <w:numPr>
          <w:ilvl w:val="0"/>
          <w:numId w:val="1280"/>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280"/>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375" w:name="federal-systems-27"/>
    <w:p>
      <w:pPr>
        <w:pStyle w:val="Heading5"/>
      </w:pPr>
      <w:r>
        <w:t xml:space="preserve">Federal systems</w:t>
      </w:r>
    </w:p>
    <w:p>
      <w:pPr>
        <w:pStyle w:val="FirstParagraph"/>
      </w:pPr>
      <w:r>
        <w:t xml:space="preserve">The Paperwork Reduction Act requires each agency head to maintain an inventory of major information systems, updated at least annually (</w:t>
      </w:r>
      <w:hyperlink r:id="rId374">
        <w:r>
          <w:rPr>
            <w:rStyle w:val="Hyperlink"/>
          </w:rPr>
          <w:t xml:space="preserve">44 U.S.C. § 3505(c)</w:t>
        </w:r>
      </w:hyperlink>
      <w:r>
        <w:t xml:space="preserve">).</w:t>
      </w:r>
    </w:p>
    <w:p>
      <w:pPr>
        <w:pStyle w:val="Compact"/>
        <w:numPr>
          <w:ilvl w:val="0"/>
          <w:numId w:val="1281"/>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375"/>
    <w:bookmarkEnd w:id="376"/>
    <w:bookmarkStart w:id="377" w:name="Xfdd46d8e50d99a2ff3d2a48ac50ff39393f0346"/>
    <w:p>
      <w:pPr>
        <w:pStyle w:val="Heading4"/>
      </w:pPr>
      <w:r>
        <w:t xml:space="preserve">Inventory of personally identifiable information (PM-5(1))</w:t>
      </w:r>
    </w:p>
    <w:p>
      <w:pPr>
        <w:pStyle w:val="Compact"/>
        <w:numPr>
          <w:ilvl w:val="0"/>
          <w:numId w:val="1282"/>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377"/>
    <w:bookmarkStart w:id="378" w:name="measures-of-performance-pm-6"/>
    <w:p>
      <w:pPr>
        <w:pStyle w:val="Heading4"/>
      </w:pPr>
      <w:r>
        <w:t xml:space="preserve">Measures of performance (PM-6)</w:t>
      </w:r>
    </w:p>
    <w:p>
      <w:pPr>
        <w:pStyle w:val="Guidance"/>
      </w:pPr>
      <w:r>
        <w:t xml:space="preserve">Choose a few measures that show whether the programs work, such as the share of systems with a current authorization, overdue plan of action items, and remediation within the required times. Report the same measures each period so trends show.</w:t>
      </w:r>
    </w:p>
    <w:p>
      <w:pPr>
        <w:pStyle w:val="Compact"/>
        <w:numPr>
          <w:ilvl w:val="0"/>
          <w:numId w:val="1283"/>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283"/>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28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378"/>
    <w:bookmarkStart w:id="379" w:name="enterprise-architecture-pm-7"/>
    <w:p>
      <w:pPr>
        <w:pStyle w:val="Heading4"/>
      </w:pPr>
      <w:r>
        <w:t xml:space="preserve">Enterprise architecture (PM-7)</w:t>
      </w:r>
    </w:p>
    <w:p>
      <w:pPr>
        <w:pStyle w:val="Compact"/>
        <w:numPr>
          <w:ilvl w:val="0"/>
          <w:numId w:val="1284"/>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284"/>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379"/>
    <w:bookmarkStart w:id="380" w:name="offloading-pm-71"/>
    <w:p>
      <w:pPr>
        <w:pStyle w:val="Heading4"/>
      </w:pPr>
      <w:r>
        <w:t xml:space="preserve">Offloading (PM-7(1))</w:t>
      </w:r>
    </w:p>
    <w:p>
      <w:pPr>
        <w:pStyle w:val="Compact"/>
        <w:numPr>
          <w:ilvl w:val="0"/>
          <w:numId w:val="1285"/>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380"/>
    <w:bookmarkStart w:id="381" w:name="critical-infrastructure-plan-pm-8"/>
    <w:p>
      <w:pPr>
        <w:pStyle w:val="Heading4"/>
      </w:pPr>
      <w:r>
        <w:t xml:space="preserve">Critical infrastructure plan (PM-8)</w:t>
      </w:r>
    </w:p>
    <w:p>
      <w:pPr>
        <w:pStyle w:val="Guidance"/>
      </w:pPr>
      <w:r>
        <w:t xml:space="preserve">PM-8 applies where the organization owns or operates critical infrastructure or key resources, or helps protect them. If it does neither, keep the heading and record that decision in the program plan.</w:t>
      </w:r>
    </w:p>
    <w:p>
      <w:pPr>
        <w:pStyle w:val="Compact"/>
        <w:numPr>
          <w:ilvl w:val="0"/>
          <w:numId w:val="128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381"/>
    <w:bookmarkStart w:id="383" w:name="risk-management-strategy-pm-9"/>
    <w:p>
      <w:pPr>
        <w:pStyle w:val="Heading4"/>
      </w:pPr>
      <w:r>
        <w:t xml:space="preserve">Risk management strategy (PM-9)</w:t>
      </w:r>
    </w:p>
    <w:p>
      <w:pPr>
        <w:pStyle w:val="Guidance"/>
      </w:pPr>
      <w:r>
        <w:t xml:space="preserve">The risk management strategy says how the organization frames, assesses, responds to and monitors risk, including its risk tolerance (PM-28). Every authorization decision should be traceable to it. Start from the</w:t>
      </w:r>
      <w:r>
        <w:t xml:space="preserve"> </w:t>
      </w:r>
      <w:hyperlink r:id="rId382">
        <w:r>
          <w:rPr>
            <w:rStyle w:val="Hyperlink"/>
          </w:rPr>
          <w:t xml:space="preserve">Risk Management Strategy template</w:t>
        </w:r>
      </w:hyperlink>
      <w:r>
        <w:t xml:space="preserve">.</w:t>
      </w:r>
    </w:p>
    <w:p>
      <w:pPr>
        <w:pStyle w:val="Compact"/>
        <w:numPr>
          <w:ilvl w:val="0"/>
          <w:numId w:val="1287"/>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287"/>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287"/>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287"/>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287"/>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383"/>
    <w:bookmarkStart w:id="384" w:name="authorization-process-pm-10"/>
    <w:p>
      <w:pPr>
        <w:pStyle w:val="Heading4"/>
      </w:pPr>
      <w:r>
        <w:t xml:space="preserve">Authorization process (PM-10)</w:t>
      </w:r>
    </w:p>
    <w:p>
      <w:pPr>
        <w:pStyle w:val="Guidance"/>
      </w:pPr>
      <w:r>
        <w:t xml:space="preserve">PM-10 makes authorization an organization-wide process rather than a one-off per system. The program plan should name who may serve as an authorizing official and how their decisions feed the risk management strategy.</w:t>
      </w:r>
    </w:p>
    <w:p>
      <w:pPr>
        <w:pStyle w:val="Compact"/>
        <w:numPr>
          <w:ilvl w:val="0"/>
          <w:numId w:val="1288"/>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288"/>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288"/>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384"/>
    <w:bookmarkStart w:id="385" w:name="Xd0af50a3aadb5a78babad0afeac67d3d9549b2b"/>
    <w:p>
      <w:pPr>
        <w:pStyle w:val="Heading4"/>
      </w:pPr>
      <w:r>
        <w:t xml:space="preserve">Mission and business process definition (PM-11)</w:t>
      </w:r>
    </w:p>
    <w:p>
      <w:pPr>
        <w:pStyle w:val="Compact"/>
        <w:numPr>
          <w:ilvl w:val="0"/>
          <w:numId w:val="1289"/>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28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289"/>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385"/>
    <w:bookmarkStart w:id="388" w:name="insider-threat-program-pm-12"/>
    <w:p>
      <w:pPr>
        <w:pStyle w:val="Heading4"/>
      </w:pPr>
      <w:r>
        <w:t xml:space="preserve">Insider threat program (PM-12)</w:t>
      </w:r>
    </w:p>
    <w:p>
      <w:pPr>
        <w:pStyle w:val="Guidance"/>
      </w:pPr>
      <w:r>
        <w:t xml:space="preserve">An insider threat program brings together information that security, human resources, legal and privacy each hold, so that concerning behavior is noticed and handled consistently. Involve the privacy official from the start: the program handles personal information about the workforce.</w:t>
      </w:r>
    </w:p>
    <w:p>
      <w:pPr>
        <w:pStyle w:val="Compact"/>
        <w:numPr>
          <w:ilvl w:val="0"/>
          <w:numId w:val="1290"/>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290"/>
        </w:numPr>
      </w:pPr>
      <w:r>
        <w:t xml:space="preserve">The program shall include a cross-discipline insider threat incident handling team, with members from at least security, human resources, legal and privacy. (PM-12)</w:t>
      </w:r>
    </w:p>
    <w:bookmarkStart w:id="387" w:name="federal-systems-28"/>
    <w:p>
      <w:pPr>
        <w:pStyle w:val="Heading5"/>
      </w:pPr>
      <w:r>
        <w:t xml:space="preserve">Federal systems</w:t>
      </w:r>
    </w:p>
    <w:p>
      <w:pPr>
        <w:pStyle w:val="FirstParagraph"/>
      </w:pPr>
      <w:hyperlink r:id="rId386">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291"/>
        </w:numPr>
      </w:pPr>
      <w:r>
        <w:t xml:space="preserve">If the agency operates or accesses classified computer networks, the insider threat program shall meet Executive Order 13587, section 2.1(b), and the guidance and standards of the Insider Threat Task Force. (PM-12)</w:t>
      </w:r>
    </w:p>
    <w:bookmarkEnd w:id="387"/>
    <w:bookmarkEnd w:id="388"/>
    <w:bookmarkStart w:id="389" w:name="security-and-privacy-workforce-pm-13"/>
    <w:p>
      <w:pPr>
        <w:pStyle w:val="Heading4"/>
      </w:pPr>
      <w:r>
        <w:t xml:space="preserve">Security and privacy workforce (PM-13)</w:t>
      </w:r>
    </w:p>
    <w:p>
      <w:pPr>
        <w:pStyle w:val="Compact"/>
        <w:numPr>
          <w:ilvl w:val="0"/>
          <w:numId w:val="1292"/>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292"/>
        </w:numPr>
      </w:pPr>
      <w:r>
        <w:t xml:space="preserve">The program shall define the knowledge and skills each security and privacy role needs, and the training and development that build them. (PM-13)</w:t>
      </w:r>
    </w:p>
    <w:bookmarkEnd w:id="389"/>
    <w:bookmarkStart w:id="390" w:name="testing-training-and-monitoring-pm-14"/>
    <w:p>
      <w:pPr>
        <w:pStyle w:val="Heading4"/>
      </w:pPr>
      <w:r>
        <w:t xml:space="preserve">Testing, training and monitoring (PM-14)</w:t>
      </w:r>
    </w:p>
    <w:p>
      <w:pPr>
        <w:pStyle w:val="Compact"/>
        <w:numPr>
          <w:ilvl w:val="0"/>
          <w:numId w:val="1293"/>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293"/>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293"/>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390"/>
    <w:bookmarkStart w:id="391" w:name="X295d60eef42c03d3703d70d5598c29f0ff37448"/>
    <w:p>
      <w:pPr>
        <w:pStyle w:val="Heading4"/>
      </w:pPr>
      <w:r>
        <w:t xml:space="preserve">Security and privacy groups and associations (PM-15)</w:t>
      </w:r>
    </w:p>
    <w:p>
      <w:pPr>
        <w:pStyle w:val="Compact"/>
        <w:numPr>
          <w:ilvl w:val="0"/>
          <w:numId w:val="1294"/>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294"/>
        </w:numPr>
      </w:pPr>
      <w:r>
        <w:t xml:space="preserve">The organization shall use those contacts to support ongoing security and privacy education and training for its personnel. (PM-15a)</w:t>
      </w:r>
    </w:p>
    <w:p>
      <w:pPr>
        <w:pStyle w:val="Compact"/>
        <w:numPr>
          <w:ilvl w:val="0"/>
          <w:numId w:val="1294"/>
        </w:numPr>
      </w:pPr>
      <w:r>
        <w:t xml:space="preserve">The organization shall use those contacts to stay current with recommended security and privacy practices, techniques and technologies. (PM-15b)</w:t>
      </w:r>
    </w:p>
    <w:p>
      <w:pPr>
        <w:pStyle w:val="Compact"/>
        <w:numPr>
          <w:ilvl w:val="0"/>
          <w:numId w:val="1294"/>
        </w:numPr>
      </w:pPr>
      <w:r>
        <w:t xml:space="preserve">The organization shall use those contacts to share current security and privacy information, including threats, vulnerabilities and incidents. (PM-15c)</w:t>
      </w:r>
    </w:p>
    <w:bookmarkEnd w:id="391"/>
    <w:bookmarkStart w:id="392" w:name="threat-awareness-program-pm-16"/>
    <w:p>
      <w:pPr>
        <w:pStyle w:val="Heading4"/>
      </w:pPr>
      <w:r>
        <w:t xml:space="preserve">Threat awareness program (PM-16)</w:t>
      </w:r>
    </w:p>
    <w:p>
      <w:pPr>
        <w:pStyle w:val="Compact"/>
        <w:numPr>
          <w:ilvl w:val="0"/>
          <w:numId w:val="1295"/>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295"/>
        </w:numPr>
      </w:pPr>
      <w:r>
        <w:t xml:space="preserve">The program shall include a capability to share threat intelligence with other organizations. (PM-16)</w:t>
      </w:r>
    </w:p>
    <w:bookmarkEnd w:id="392"/>
    <w:bookmarkStart w:id="393" w:name="Xe86a6af6832bc7c5449cc45bcce4db3ae940100"/>
    <w:p>
      <w:pPr>
        <w:pStyle w:val="Heading4"/>
      </w:pPr>
      <w:r>
        <w:t xml:space="preserve">Automated means for sharing threat intelligence (PM-16(1))</w:t>
      </w:r>
    </w:p>
    <w:p>
      <w:pPr>
        <w:pStyle w:val="Compact"/>
        <w:numPr>
          <w:ilvl w:val="0"/>
          <w:numId w:val="1296"/>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393"/>
    <w:bookmarkStart w:id="397" w:name="X9caffbee26b5c63bed776c5d2d7f8e03874faa7"/>
    <w:p>
      <w:pPr>
        <w:pStyle w:val="Heading4"/>
      </w:pPr>
      <w:r>
        <w:t xml:space="preserve">Protecting controlled unclassified information on external systems (PM-17)</w:t>
      </w:r>
    </w:p>
    <w:p>
      <w:pPr>
        <w:pStyle w:val="Guidance"/>
      </w:pPr>
      <w:r>
        <w:t xml:space="preserve">Controlled unclassified information (CUI) is information the U.S. government creates or owns that a law, regulation or government-wide policy requires to be protected. PM-17 applies wherever the organization shares CUI with external systems, or holds CUI under a contract or agreement. If it handles no CUI, keep the heading and record that decision in the program plan.</w:t>
      </w:r>
    </w:p>
    <w:p>
      <w:pPr>
        <w:pStyle w:val="Compact"/>
        <w:numPr>
          <w:ilvl w:val="0"/>
          <w:numId w:val="1297"/>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297"/>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297"/>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396" w:name="federal-systems-29"/>
    <w:p>
      <w:pPr>
        <w:pStyle w:val="Heading5"/>
      </w:pPr>
      <w:r>
        <w:t xml:space="preserve">Federal systems</w:t>
      </w:r>
    </w:p>
    <w:p>
      <w:pPr>
        <w:pStyle w:val="FirstParagraph"/>
      </w:pPr>
      <w:r>
        <w:t xml:space="preserve">Under</w:t>
      </w:r>
      <w:r>
        <w:t xml:space="preserve"> </w:t>
      </w:r>
      <w:hyperlink r:id="rId284">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394">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395">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298"/>
        </w:numPr>
      </w:pPr>
      <w:r>
        <w:t xml:space="preserve">Each agreement that shares CUI with a non-federal organization shall require the recipient to protect it as 32 CFR 2002.14(h) requires, and shall name the revision of NIST SP 800-171 that applies. (PM-17a)</w:t>
      </w:r>
    </w:p>
    <w:bookmarkEnd w:id="396"/>
    <w:bookmarkEnd w:id="397"/>
    <w:bookmarkStart w:id="399" w:name="privacy-program-plan-pm-18"/>
    <w:p>
      <w:pPr>
        <w:pStyle w:val="Heading4"/>
      </w:pPr>
      <w:r>
        <w:t xml:space="preserve">Privacy program plan (PM-18)</w:t>
      </w:r>
    </w:p>
    <w:p>
      <w:pPr>
        <w:pStyle w:val="Guidance"/>
      </w:pPr>
      <w:r>
        <w:t xml:space="preserve">The privacy program plan is the privacy counterpart of the information security program plan (PM-1). Many organizations keep them as two chapters of one program document; assessors accept that if each chapter meets its own control.</w:t>
      </w:r>
    </w:p>
    <w:p>
      <w:pPr>
        <w:pStyle w:val="Compact"/>
        <w:numPr>
          <w:ilvl w:val="0"/>
          <w:numId w:val="1299"/>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299"/>
        </w:numPr>
      </w:pPr>
      <w:r>
        <w:t xml:space="preserve">The plan shall describe the structure of the privacy program and the resources dedicated to it. (PM-18a.1)</w:t>
      </w:r>
    </w:p>
    <w:p>
      <w:pPr>
        <w:pStyle w:val="Compact"/>
        <w:numPr>
          <w:ilvl w:val="0"/>
          <w:numId w:val="1299"/>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299"/>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299"/>
        </w:numPr>
      </w:pPr>
      <w:r>
        <w:t xml:space="preserve">The plan shall describe management commitment, compliance, and the strategic goals and objectives of the privacy program. (PM-18a.4)</w:t>
      </w:r>
    </w:p>
    <w:p>
      <w:pPr>
        <w:pStyle w:val="Compact"/>
        <w:numPr>
          <w:ilvl w:val="0"/>
          <w:numId w:val="1299"/>
        </w:numPr>
      </w:pPr>
      <w:r>
        <w:t xml:space="preserve">The plan shall reflect coordination among the organizational entities responsible for the different aspects of privacy. (PM-18a.5)</w:t>
      </w:r>
    </w:p>
    <w:p>
      <w:pPr>
        <w:pStyle w:val="Compact"/>
        <w:numPr>
          <w:ilvl w:val="0"/>
          <w:numId w:val="1299"/>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299"/>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398" w:name="federal-systems-30"/>
    <w:p>
      <w:pPr>
        <w:pStyle w:val="Heading5"/>
      </w:pPr>
      <w:r>
        <w:t xml:space="preserve">Federal systems</w:t>
      </w:r>
    </w:p>
    <w:p>
      <w:pPr>
        <w:pStyle w:val="FirstParagraph"/>
      </w:pPr>
      <w:hyperlink r:id="rId77">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300"/>
        </w:numPr>
      </w:pPr>
      <w:r>
        <w:t xml:space="preserve">The plan shall address the changes in federal privacy laws and policy that apply to the agency. (PM-18b)</w:t>
      </w:r>
    </w:p>
    <w:bookmarkEnd w:id="398"/>
    <w:bookmarkEnd w:id="399"/>
    <w:bookmarkStart w:id="401" w:name="privacy-program-leadership-role-pm-19"/>
    <w:p>
      <w:pPr>
        <w:pStyle w:val="Heading4"/>
      </w:pPr>
      <w:r>
        <w:t xml:space="preserve">Privacy program leadership role (PM-19)</w:t>
      </w:r>
    </w:p>
    <w:p>
      <w:pPr>
        <w:pStyle w:val="Compact"/>
        <w:numPr>
          <w:ilvl w:val="0"/>
          <w:numId w:val="1301"/>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301"/>
        </w:numPr>
      </w:pPr>
      <w:r>
        <w:t xml:space="preserve">The</w:t>
      </w:r>
      <w:r>
        <w:t xml:space="preserve"> </w:t>
      </w:r>
      <w:r>
        <w:rPr>
          <w:rStyle w:val="Fill-in"/>
        </w:rPr>
        <w:t xml:space="preserve">[Senior leader]</w:t>
      </w:r>
      <w:r>
        <w:t xml:space="preserve"> </w:t>
      </w:r>
      <w:r>
        <w:t xml:space="preserve">shall record the appointment in writing. (PM-19)</w:t>
      </w:r>
    </w:p>
    <w:bookmarkStart w:id="400" w:name="federal-systems-31"/>
    <w:p>
      <w:pPr>
        <w:pStyle w:val="Heading5"/>
      </w:pPr>
      <w:r>
        <w:t xml:space="preserve">Federal systems</w:t>
      </w:r>
    </w:p>
    <w:p>
      <w:pPr>
        <w:pStyle w:val="FirstParagraph"/>
      </w:pPr>
      <w:hyperlink r:id="rId77">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302"/>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400"/>
    <w:bookmarkEnd w:id="401"/>
    <w:bookmarkStart w:id="404" w:name="X8c58b1a686d2e657983ac5a638c64d23a299233"/>
    <w:p>
      <w:pPr>
        <w:pStyle w:val="Heading4"/>
      </w:pPr>
      <w:r>
        <w:t xml:space="preserve">Dissemination of privacy program information (PM-20)</w:t>
      </w:r>
    </w:p>
    <w:p>
      <w:pPr>
        <w:pStyle w:val="Compact"/>
        <w:numPr>
          <w:ilvl w:val="0"/>
          <w:numId w:val="1303"/>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303"/>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303"/>
        </w:numPr>
      </w:pPr>
      <w:r>
        <w:t xml:space="preserve">The page shall make the organization’s privacy practices and reports publicly available. (PM-20b)</w:t>
      </w:r>
    </w:p>
    <w:p>
      <w:pPr>
        <w:pStyle w:val="Compact"/>
        <w:numPr>
          <w:ilvl w:val="0"/>
          <w:numId w:val="1303"/>
        </w:numPr>
      </w:pPr>
      <w:r>
        <w:t xml:space="preserve">The page shall list a public email address or phone line for feedback and questions to the privacy office. (PM-20c)</w:t>
      </w:r>
    </w:p>
    <w:bookmarkStart w:id="403" w:name="federal-systems-32"/>
    <w:p>
      <w:pPr>
        <w:pStyle w:val="Heading5"/>
      </w:pPr>
      <w:r>
        <w:t xml:space="preserve">Federal systems</w:t>
      </w:r>
    </w:p>
    <w:p>
      <w:pPr>
        <w:pStyle w:val="FirstParagraph"/>
      </w:pPr>
      <w:hyperlink r:id="rId402">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304"/>
        </w:numPr>
      </w:pPr>
      <w:r>
        <w:t xml:space="preserve">The privacy webpage shall be located at the address M-23-22 requires,</w:t>
      </w:r>
      <w:r>
        <w:t xml:space="preserve"> </w:t>
      </w:r>
      <w:r>
        <w:rPr>
          <w:rStyle w:val="VerbatimChar"/>
        </w:rPr>
        <w:t xml:space="preserve">www.[agency].gov/privacy</w:t>
      </w:r>
      <w:r>
        <w:t xml:space="preserve">. (PM-20)</w:t>
      </w:r>
    </w:p>
    <w:bookmarkEnd w:id="403"/>
    <w:bookmarkEnd w:id="404"/>
    <w:bookmarkStart w:id="405" w:name="Xe8d1be3de77fe075c208d4409c9bd299e6e15d7"/>
    <w:p>
      <w:pPr>
        <w:pStyle w:val="Heading4"/>
      </w:pPr>
      <w:r>
        <w:t xml:space="preserve">Privacy policies on websites, applications and digital services (PM-20(1))</w:t>
      </w:r>
    </w:p>
    <w:p>
      <w:pPr>
        <w:pStyle w:val="Compact"/>
        <w:numPr>
          <w:ilvl w:val="0"/>
          <w:numId w:val="1305"/>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305"/>
        </w:numPr>
      </w:pPr>
      <w:r>
        <w:t xml:space="preserve">Each privacy policy shall be written in plain language and organized so that it is easy to understand and navigate. (PM-20(1)(a))</w:t>
      </w:r>
    </w:p>
    <w:p>
      <w:pPr>
        <w:pStyle w:val="Compact"/>
        <w:numPr>
          <w:ilvl w:val="0"/>
          <w:numId w:val="1305"/>
        </w:numPr>
      </w:pPr>
      <w:r>
        <w:t xml:space="preserve">Each privacy policy shall give the public the information it needs to decide whether and how to interact with the organization. (PM-20(1)(b))</w:t>
      </w:r>
    </w:p>
    <w:p>
      <w:pPr>
        <w:pStyle w:val="Compact"/>
        <w:numPr>
          <w:ilvl w:val="0"/>
          <w:numId w:val="1305"/>
        </w:numPr>
      </w:pPr>
      <w:r>
        <w:t xml:space="preserve">Each privacy policy shall be updated whenever the organization makes a substantive change to the practices it describes, and shall show the date of the latest change. (PM-20(1)(c))</w:t>
      </w:r>
    </w:p>
    <w:bookmarkEnd w:id="405"/>
    <w:bookmarkStart w:id="408" w:name="accounting-of-disclosures-pm-21"/>
    <w:p>
      <w:pPr>
        <w:pStyle w:val="Heading4"/>
      </w:pPr>
      <w:r>
        <w:t xml:space="preserve">Accounting of disclosures (PM-21)</w:t>
      </w:r>
    </w:p>
    <w:p>
      <w:pPr>
        <w:pStyle w:val="Guidance"/>
      </w:pPr>
      <w:r>
        <w:t xml:space="preserve">The retention period in PM-21b is fixed by NIST’s control text, not a parameter. Keep the accounting where it can be searched by individual, so a request under PM-21c can be answered.</w:t>
      </w:r>
    </w:p>
    <w:p>
      <w:pPr>
        <w:pStyle w:val="Compact"/>
        <w:numPr>
          <w:ilvl w:val="0"/>
          <w:numId w:val="1306"/>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306"/>
        </w:numPr>
      </w:pPr>
      <w:r>
        <w:t xml:space="preserve">The accounting shall record the name and address, or other contact information, of the individual or organization that received the disclosure. (PM-21a.2)</w:t>
      </w:r>
    </w:p>
    <w:p>
      <w:pPr>
        <w:pStyle w:val="Compact"/>
        <w:numPr>
          <w:ilvl w:val="0"/>
          <w:numId w:val="1306"/>
        </w:numPr>
      </w:pPr>
      <w:r>
        <w:t xml:space="preserve">The accounting shall be kept for as long as the personally identifiable information is maintained or five years after the disclosure, whichever is longer. (PM-21b)</w:t>
      </w:r>
    </w:p>
    <w:p>
      <w:pPr>
        <w:pStyle w:val="Compact"/>
        <w:numPr>
          <w:ilvl w:val="0"/>
          <w:numId w:val="1306"/>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407" w:name="federal-systems-33"/>
    <w:p>
      <w:pPr>
        <w:pStyle w:val="Heading5"/>
      </w:pPr>
      <w:r>
        <w:t xml:space="preserve">Federal systems</w:t>
      </w:r>
    </w:p>
    <w:p>
      <w:pPr>
        <w:pStyle w:val="FirstParagraph"/>
      </w:pPr>
      <w:r>
        <w:t xml:space="preserve">For records in a Privacy Act system of records,</w:t>
      </w:r>
      <w:r>
        <w:t xml:space="preserve"> </w:t>
      </w:r>
      <w:hyperlink r:id="rId406">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307"/>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407"/>
    <w:bookmarkEnd w:id="408"/>
    <w:bookmarkStart w:id="409" w:name="X7569689a71f1327a9a5746a49abc189c947a1f2"/>
    <w:p>
      <w:pPr>
        <w:pStyle w:val="Heading4"/>
      </w:pPr>
      <w:r>
        <w:t xml:space="preserve">Personally identifiable information quality management (PM-22)</w:t>
      </w:r>
    </w:p>
    <w:p>
      <w:pPr>
        <w:pStyle w:val="Compact"/>
        <w:numPr>
          <w:ilvl w:val="0"/>
          <w:numId w:val="1308"/>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308"/>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308"/>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308"/>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409"/>
    <w:bookmarkStart w:id="410" w:name="data-governance-body-pm-23"/>
    <w:p>
      <w:pPr>
        <w:pStyle w:val="Heading4"/>
      </w:pPr>
      <w:r>
        <w:t xml:space="preserve">Data governance body (PM-23)</w:t>
      </w:r>
    </w:p>
    <w:p>
      <w:pPr>
        <w:pStyle w:val="Compact"/>
        <w:numPr>
          <w:ilvl w:val="0"/>
          <w:numId w:val="1309"/>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410"/>
    <w:bookmarkStart w:id="413" w:name="data-integrity-board-pm-24"/>
    <w:p>
      <w:pPr>
        <w:pStyle w:val="Heading4"/>
      </w:pPr>
      <w:r>
        <w:t xml:space="preserve">Data integrity board (PM-24)</w:t>
      </w:r>
    </w:p>
    <w:p>
      <w:pPr>
        <w:pStyle w:val="Guidance"/>
      </w:pPr>
      <w:r>
        <w:t xml:space="preserve">A matching program is a computerized comparison of records about individuals, typically to establish or check eligibility for a benefit; the term comes from the U.S. Privacy Act. The steps for each matching program are in PT-8, in the</w:t>
      </w:r>
      <w:r>
        <w:t xml:space="preserve"> </w:t>
      </w:r>
      <w:hyperlink r:id="rId411">
        <w:r>
          <w:rPr>
            <w:rStyle w:val="Hyperlink"/>
          </w:rPr>
          <w:t xml:space="preserve">PII Processing and Transparency Policy</w:t>
        </w:r>
      </w:hyperlink>
      <w:r>
        <w:t xml:space="preserve">. If the organization runs no matching programs, keep the heading and record that decision in the program plan.</w:t>
      </w:r>
    </w:p>
    <w:p>
      <w:pPr>
        <w:pStyle w:val="Compact"/>
        <w:numPr>
          <w:ilvl w:val="0"/>
          <w:numId w:val="1310"/>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310"/>
        </w:numPr>
      </w:pPr>
      <w:r>
        <w:t xml:space="preserve">The board shall review each proposal to conduct or take part in a matching program before the organization commits to it. (PM-24a)</w:t>
      </w:r>
    </w:p>
    <w:p>
      <w:pPr>
        <w:pStyle w:val="Compact"/>
        <w:numPr>
          <w:ilvl w:val="0"/>
          <w:numId w:val="1310"/>
        </w:numPr>
      </w:pPr>
      <w:r>
        <w:t xml:space="preserve">The board shall review, each year, every matching program the organization took part in. (PM-24b)</w:t>
      </w:r>
    </w:p>
    <w:bookmarkStart w:id="412" w:name="federal-systems-34"/>
    <w:p>
      <w:pPr>
        <w:pStyle w:val="Heading5"/>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406">
        <w:r>
          <w:rPr>
            <w:rStyle w:val="Hyperlink"/>
          </w:rPr>
          <w:t xml:space="preserve">5 U.S.C. § 552a(u)</w:t>
        </w:r>
      </w:hyperlink>
      <w:r>
        <w:t xml:space="preserve">).</w:t>
      </w:r>
    </w:p>
    <w:p>
      <w:pPr>
        <w:pStyle w:val="Compact"/>
        <w:numPr>
          <w:ilvl w:val="0"/>
          <w:numId w:val="1311"/>
        </w:numPr>
      </w:pPr>
      <w:r>
        <w:t xml:space="preserve">The data integrity board shall be established, staffed and run as 5 U.S.C. § 552a(u) requires. (PM-24)</w:t>
      </w:r>
    </w:p>
    <w:bookmarkEnd w:id="412"/>
    <w:bookmarkEnd w:id="413"/>
    <w:bookmarkStart w:id="414" w:name="X60a37a65fbb871e1bf4e10c6dadffc80a4b8ade"/>
    <w:p>
      <w:pPr>
        <w:pStyle w:val="Heading4"/>
      </w:pPr>
      <w:r>
        <w:t xml:space="preserve">Minimization of personally identifiable information used in testing, training and research (PM-25)</w:t>
      </w:r>
    </w:p>
    <w:p>
      <w:pPr>
        <w:pStyle w:val="Compact"/>
        <w:numPr>
          <w:ilvl w:val="0"/>
          <w:numId w:val="1312"/>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312"/>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312"/>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312"/>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312"/>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414"/>
    <w:bookmarkStart w:id="415" w:name="complaint-management-pm-26"/>
    <w:p>
      <w:pPr>
        <w:pStyle w:val="Heading4"/>
      </w:pPr>
      <w:r>
        <w:t xml:space="preserve">Complaint management (PM-26)</w:t>
      </w:r>
    </w:p>
    <w:p>
      <w:pPr>
        <w:pStyle w:val="Compact"/>
        <w:numPr>
          <w:ilvl w:val="0"/>
          <w:numId w:val="1313"/>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313"/>
        </w:numPr>
      </w:pPr>
      <w:r>
        <w:t xml:space="preserve">The process shall offer ways to file that are easy to use and readily accessible to the public. (PM-26a)</w:t>
      </w:r>
    </w:p>
    <w:p>
      <w:pPr>
        <w:pStyle w:val="Compact"/>
        <w:numPr>
          <w:ilvl w:val="0"/>
          <w:numId w:val="1313"/>
        </w:numPr>
      </w:pPr>
      <w:r>
        <w:t xml:space="preserve">The process shall tell individuals all the information they need to file a complaint successfully. (PM-26b)</w:t>
      </w:r>
    </w:p>
    <w:p>
      <w:pPr>
        <w:pStyle w:val="Compact"/>
        <w:numPr>
          <w:ilvl w:val="0"/>
          <w:numId w:val="1313"/>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313"/>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313"/>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415"/>
    <w:bookmarkStart w:id="416" w:name="privacy-reporting-pm-27"/>
    <w:p>
      <w:pPr>
        <w:pStyle w:val="Heading4"/>
      </w:pPr>
      <w:r>
        <w:t xml:space="preserve">Privacy reporting (PM-27)</w:t>
      </w:r>
    </w:p>
    <w:p>
      <w:pPr>
        <w:pStyle w:val="Compact"/>
        <w:numPr>
          <w:ilvl w:val="0"/>
          <w:numId w:val="1314"/>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314"/>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314"/>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314"/>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416"/>
    <w:bookmarkStart w:id="417" w:name="risk-framing-pm-28"/>
    <w:p>
      <w:pPr>
        <w:pStyle w:val="Heading4"/>
      </w:pPr>
      <w:r>
        <w:t xml:space="preserve">Risk framing (PM-28)</w:t>
      </w:r>
    </w:p>
    <w:p>
      <w:pPr>
        <w:pStyle w:val="Guidance"/>
      </w:pPr>
      <w:r>
        <w:t xml:space="preserve">Risk framing is the context every risk decision uses: the assumptions, constraints, priorities and risk tolerance. Most organizations record it as a section of the risk management strategy (PM-9).</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315"/>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417"/>
    <w:bookmarkStart w:id="418" w:name="X5f82af3e72732422103a00e993f11a225c92bbb"/>
    <w:p>
      <w:pPr>
        <w:pStyle w:val="Heading4"/>
      </w:pPr>
      <w:r>
        <w:t xml:space="preserve">Risk management program leadership roles (PM-29)</w:t>
      </w:r>
    </w:p>
    <w:p>
      <w:pPr>
        <w:pStyle w:val="Compact"/>
        <w:numPr>
          <w:ilvl w:val="0"/>
          <w:numId w:val="1316"/>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316"/>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418"/>
    <w:bookmarkStart w:id="420" w:name="X9465905a517f3307e8626b041d923e84b16fe0b"/>
    <w:p>
      <w:pPr>
        <w:pStyle w:val="Heading4"/>
      </w:pPr>
      <w:r>
        <w:t xml:space="preserve">Supply chain risk management strategy (PM-30)</w:t>
      </w:r>
    </w:p>
    <w:p>
      <w:pPr>
        <w:pStyle w:val="Guidance"/>
      </w:pPr>
      <w:r>
        <w:t xml:space="preserve">The supply chain risk management strategy is organization-wide; the supply chain risk management plan (SR-2) applies it to systems. NIST SP 800-161 Rev. 1 describes both (</w:t>
      </w:r>
      <w:hyperlink r:id="rId419">
        <w:r>
          <w:rPr>
            <w:rStyle w:val="Hyperlink"/>
          </w:rPr>
          <w:t xml:space="preserve">Update 1, November 2024</w:t>
        </w:r>
      </w:hyperlink>
      <w:r>
        <w:t xml:space="preserve">, current as of September 2026).</w:t>
      </w:r>
    </w:p>
    <w:p>
      <w:pPr>
        <w:pStyle w:val="Compact"/>
        <w:numPr>
          <w:ilvl w:val="0"/>
          <w:numId w:val="1317"/>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317"/>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317"/>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420"/>
    <w:bookmarkStart w:id="421" w:name="Xc3761b85f792431edd5829831568fac0786d355"/>
    <w:p>
      <w:pPr>
        <w:pStyle w:val="Heading4"/>
      </w:pPr>
      <w:r>
        <w:t xml:space="preserve">Suppliers of critical or mission-essential items (PM-30(1))</w:t>
      </w:r>
    </w:p>
    <w:p>
      <w:pPr>
        <w:pStyle w:val="Compact"/>
        <w:numPr>
          <w:ilvl w:val="0"/>
          <w:numId w:val="1318"/>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318"/>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421"/>
    <w:bookmarkStart w:id="422" w:name="continuous-monitoring-strategy-pm-31"/>
    <w:p>
      <w:pPr>
        <w:pStyle w:val="Heading4"/>
      </w:pPr>
      <w:r>
        <w:t xml:space="preserve">Continuous monitoring strategy (PM-31)</w:t>
      </w:r>
    </w:p>
    <w:p>
      <w:pPr>
        <w:pStyle w:val="Guidance"/>
      </w:pPr>
      <w:r>
        <w:t xml:space="preserve">The organization-wide strategy sets the metrics and frequencies each system’s continuous monitoring (CA-7) follows. The</w:t>
      </w:r>
      <w:r>
        <w:t xml:space="preserve"> </w:t>
      </w:r>
      <w:hyperlink r:id="rId138">
        <w:r>
          <w:rPr>
            <w:rStyle w:val="Hyperlink"/>
          </w:rPr>
          <w:t xml:space="preserve">Continuous Monitoring Strategy</w:t>
        </w:r>
      </w:hyperlink>
      <w:r>
        <w:t xml:space="preserve"> </w:t>
      </w:r>
      <w:r>
        <w:t xml:space="preserve">template holds both levels. NIST SP 800-137 (</w:t>
      </w:r>
      <w:hyperlink r:id="rId139">
        <w:r>
          <w:rPr>
            <w:rStyle w:val="Hyperlink"/>
          </w:rPr>
          <w:t xml:space="preserve">September 2011</w:t>
        </w:r>
      </w:hyperlink>
      <w:r>
        <w:t xml:space="preserve">, current as of September 2026) describes how to build it.</w:t>
      </w:r>
    </w:p>
    <w:p>
      <w:pPr>
        <w:pStyle w:val="Compact"/>
        <w:numPr>
          <w:ilvl w:val="0"/>
          <w:numId w:val="1319"/>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319"/>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319"/>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319"/>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319"/>
        </w:numPr>
      </w:pPr>
      <w:r>
        <w:t xml:space="preserve">The programs shall monitor the organization-wide metrics on an ongoing basis, as the strategy sets out. (PM-31c)</w:t>
      </w:r>
    </w:p>
    <w:p>
      <w:pPr>
        <w:pStyle w:val="Compact"/>
        <w:numPr>
          <w:ilvl w:val="0"/>
          <w:numId w:val="1319"/>
        </w:numPr>
      </w:pPr>
      <w:r>
        <w:t xml:space="preserve">The programs shall correlate and analyze the information that control assessments and monitoring produce. (PM-31d)</w:t>
      </w:r>
    </w:p>
    <w:p>
      <w:pPr>
        <w:pStyle w:val="Compact"/>
        <w:numPr>
          <w:ilvl w:val="0"/>
          <w:numId w:val="1319"/>
        </w:numPr>
      </w:pPr>
      <w:r>
        <w:t xml:space="preserve">The programs shall take response actions to address the results of that analysis. (PM-31e)</w:t>
      </w:r>
    </w:p>
    <w:p>
      <w:pPr>
        <w:pStyle w:val="Compact"/>
        <w:numPr>
          <w:ilvl w:val="0"/>
          <w:numId w:val="1319"/>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319"/>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422"/>
    <w:bookmarkStart w:id="423" w:name="purposing-pm-32"/>
    <w:p>
      <w:pPr>
        <w:pStyle w:val="Heading4"/>
      </w:pPr>
      <w:r>
        <w:t xml:space="preserve">Purposing (PM-32)</w:t>
      </w:r>
    </w:p>
    <w:p>
      <w:pPr>
        <w:pStyle w:val="Compact"/>
        <w:numPr>
          <w:ilvl w:val="0"/>
          <w:numId w:val="1320"/>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423"/>
    <w:bookmarkEnd w:id="424"/>
    <w:bookmarkStart w:id="441" w:name="personnel-security-ps"/>
    <w:p>
      <w:pPr>
        <w:pStyle w:val="Heading3"/>
      </w:pPr>
      <w:r>
        <w:t xml:space="preserve">Personnel Security (PS)</w:t>
      </w:r>
    </w:p>
    <w:bookmarkStart w:id="429" w:name="position-risk-designation-ps-2"/>
    <w:p>
      <w:pPr>
        <w:pStyle w:val="Heading4"/>
      </w:pPr>
      <w:r>
        <w:t xml:space="preserve">Position risk designation (PS-2)</w:t>
      </w:r>
    </w:p>
    <w:p>
      <w:pPr>
        <w:pStyle w:val="Guidance"/>
      </w:pPr>
      <w:r>
        <w:t xml:space="preserve">A risk designation rates each position by the harm a person in it could do through misconduct, usually low, moderate or high. Positions with privileged access, control of money or access to large amounts of sensitive information rate higher. The designation sets the screening each position needs (PS-3), so write the screening criteria for each level in one table.</w:t>
      </w:r>
    </w:p>
    <w:p>
      <w:pPr>
        <w:pStyle w:val="Compact"/>
        <w:numPr>
          <w:ilvl w:val="0"/>
          <w:numId w:val="1321"/>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321"/>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321"/>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428" w:name="federal-systems-35"/>
    <w:p>
      <w:pPr>
        <w:pStyle w:val="Heading5"/>
      </w:pPr>
      <w:r>
        <w:t xml:space="preserve">Federal systems</w:t>
      </w:r>
    </w:p>
    <w:p>
      <w:pPr>
        <w:pStyle w:val="FirstParagraph"/>
      </w:pPr>
      <w:hyperlink r:id="rId425">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426">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427">
        <w:r>
          <w:rPr>
            <w:rStyle w:val="Hyperlink"/>
          </w:rPr>
          <w:t xml:space="preserve">Position Designation Tool</w:t>
        </w:r>
      </w:hyperlink>
      <w:r>
        <w:t xml:space="preserve"> </w:t>
      </w:r>
      <w:r>
        <w:t xml:space="preserve">for making these designations. Checked September 2026.</w:t>
      </w:r>
    </w:p>
    <w:p>
      <w:pPr>
        <w:pStyle w:val="Compact"/>
        <w:numPr>
          <w:ilvl w:val="0"/>
          <w:numId w:val="1322"/>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322"/>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428"/>
    <w:bookmarkEnd w:id="429"/>
    <w:bookmarkStart w:id="431" w:name="personnel-screening-ps-3"/>
    <w:p>
      <w:pPr>
        <w:pStyle w:val="Heading4"/>
      </w:pPr>
      <w:r>
        <w:t xml:space="preserve">Personnel screening (PS-3)</w:t>
      </w:r>
    </w:p>
    <w:p>
      <w:pPr>
        <w:pStyle w:val="Guidance"/>
      </w:pPr>
      <w:r>
        <w:t xml:space="preserve">Screening is what the position’s risk designation calls for: identity and employment checks at the low level, and more, such as criminal history checks, at higher levels. Employment and privacy laws limit what may be checked and how, and they vary by country and state, so settle the screening criteria with legal counsel. Assessors compare screening completion dates with account creation dates.</w:t>
      </w:r>
    </w:p>
    <w:p>
      <w:pPr>
        <w:pStyle w:val="Compact"/>
        <w:numPr>
          <w:ilvl w:val="0"/>
          <w:numId w:val="1323"/>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323"/>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430" w:name="federal-systems-36"/>
    <w:p>
      <w:pPr>
        <w:pStyle w:val="Heading5"/>
      </w:pPr>
      <w:r>
        <w:t xml:space="preserve">Federal systems</w:t>
      </w:r>
    </w:p>
    <w:p>
      <w:pPr>
        <w:pStyle w:val="FirstParagraph"/>
      </w:pPr>
      <w:hyperlink r:id="rId425">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231">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430"/>
    <w:bookmarkEnd w:id="431"/>
    <w:bookmarkStart w:id="433" w:name="personnel-termination-ps-4"/>
    <w:p>
      <w:pPr>
        <w:pStyle w:val="Heading4"/>
      </w:pPr>
      <w:r>
        <w:t xml:space="preserve">Personnel termination (PS-4)</w:t>
      </w:r>
    </w:p>
    <w:p>
      <w:pPr>
        <w:pStyle w:val="Guidance"/>
      </w:pPr>
      <w:r>
        <w:t xml:space="preserve">Termination is the most tested personnel control: assessors take a list of recent departures and check when each account was disabled. The time period should agree with the notice time in AC-2h.2. NIST notes that for a termination for cause, organizations consider disabling accounts before the individual is told, and that an exit interview is not always possible. The</w:t>
      </w:r>
      <w:r>
        <w:t xml:space="preserve"> </w:t>
      </w:r>
      <w:hyperlink r:id="rId20">
        <w:r>
          <w:rPr>
            <w:rStyle w:val="Hyperlink"/>
          </w:rPr>
          <w:t xml:space="preserve">onboarding, transfer and termination checklist</w:t>
        </w:r>
      </w:hyperlink>
      <w:r>
        <w:t xml:space="preserve"> </w:t>
      </w:r>
      <w:r>
        <w:t xml:space="preserve">lists each step with its owner.</w:t>
      </w:r>
    </w:p>
    <w:p>
      <w:pPr>
        <w:pStyle w:val="Compact"/>
        <w:numPr>
          <w:ilvl w:val="0"/>
          <w:numId w:val="1325"/>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325"/>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325"/>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325"/>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325"/>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432" w:name="federal-systems-37"/>
    <w:p>
      <w:pPr>
        <w:pStyle w:val="Heading5"/>
      </w:pPr>
      <w:r>
        <w:t xml:space="preserve">Federal systems</w:t>
      </w:r>
    </w:p>
    <w:p>
      <w:pPr>
        <w:pStyle w:val="FirstParagraph"/>
      </w:pPr>
      <w:hyperlink r:id="rId231">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326"/>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432"/>
    <w:bookmarkEnd w:id="433"/>
    <w:bookmarkStart w:id="434" w:name="automated-actions-ps-42"/>
    <w:p>
      <w:pPr>
        <w:pStyle w:val="Heading4"/>
      </w:pPr>
      <w:r>
        <w:t xml:space="preserve">Automated actions (PS-4(2))</w:t>
      </w:r>
    </w:p>
    <w:p>
      <w:pPr>
        <w:pStyle w:val="Guidance"/>
      </w:pPr>
      <w:r>
        <w:t xml:space="preserve">The usual mechanism is a feed from the human resources system to the identity provider, which disables the accounts and sends the notices when a termination is recorded. PS-4(2) is in the High baseline.</w:t>
      </w:r>
    </w:p>
    <w:p>
      <w:pPr>
        <w:pStyle w:val="Compact"/>
        <w:numPr>
          <w:ilvl w:val="0"/>
          <w:numId w:val="1327"/>
        </w:numPr>
      </w:pPr>
      <w:r>
        <w:t xml:space="preserve">The</w:t>
      </w:r>
      <w:r>
        <w:t xml:space="preserve"> </w:t>
      </w:r>
      <w:r>
        <w:rPr>
          <w:rStyle w:val="Fill-in"/>
        </w:rPr>
        <w:t xml:space="preserve">[System owner]</w:t>
      </w:r>
      <w:r>
        <w:t xml:space="preserve"> </w:t>
      </w:r>
      <w:r>
        <w:t xml:space="preserve">shall use</w:t>
      </w:r>
      <w:r>
        <w:t xml:space="preserve"> </w:t>
      </w:r>
      <w:r>
        <w:rPr>
          <w:rStyle w:val="Fill-in"/>
        </w:rPr>
        <w:t xml:space="preserve">[Fill in: automated mechanisms to notify personnel or roles of individual termination actions and/or to disable access to system resources. Typical: the identity governance system, triggered by the termination record in the human resources system]</w:t>
      </w:r>
      <w:r>
        <w:t xml:space="preserve"> </w:t>
      </w:r>
      <w:r>
        <w:t xml:space="preserve">to</w:t>
      </w:r>
      <w:r>
        <w:t xml:space="preserve"> </w:t>
      </w:r>
      <w:r>
        <w:rPr>
          <w:rStyle w:val="Fill-in"/>
        </w:rPr>
        <w:t xml:space="preserve">[Select one or more: notify [Assignment: organization-defined personnel or roles] of individual termination actions; disable access to system resources. Typical: notify the account managers and system owners of individual termination actions, and disable access to system resources]</w:t>
      </w:r>
      <w:r>
        <w:t xml:space="preserve">. (PS-4(2))</w:t>
      </w:r>
    </w:p>
    <w:bookmarkEnd w:id="434"/>
    <w:bookmarkStart w:id="435" w:name="personnel-transfer-ps-5"/>
    <w:p>
      <w:pPr>
        <w:pStyle w:val="Heading4"/>
      </w:pPr>
      <w:r>
        <w:t xml:space="preserve">Personnel transfer (PS-5)</w:t>
      </w:r>
    </w:p>
    <w:p>
      <w:pPr>
        <w:pStyle w:val="Guidance"/>
      </w:pPr>
      <w:r>
        <w:t xml:space="preserve">A transfer is where access accumulates: people keep what they had and gain what the new job needs. PS-5 applies to reassignments that are permanent or long enough to warrant the actions. The notice time should agree with AC-2h.2. The</w:t>
      </w:r>
      <w:r>
        <w:t xml:space="preserve"> </w:t>
      </w:r>
      <w:hyperlink r:id="rId20">
        <w:r>
          <w:rPr>
            <w:rStyle w:val="Hyperlink"/>
          </w:rPr>
          <w:t xml:space="preserve">onboarding, transfer and termination checklist</w:t>
        </w:r>
      </w:hyperlink>
      <w:r>
        <w:t xml:space="preserve"> </w:t>
      </w:r>
      <w:r>
        <w:t xml:space="preserve">has a transfer section.</w:t>
      </w:r>
    </w:p>
    <w:p>
      <w:pPr>
        <w:pStyle w:val="Compact"/>
        <w:numPr>
          <w:ilvl w:val="0"/>
          <w:numId w:val="1328"/>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328"/>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328"/>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328"/>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435"/>
    <w:bookmarkStart w:id="437" w:name="access-agreements-ps-6"/>
    <w:p>
      <w:pPr>
        <w:pStyle w:val="Heading4"/>
      </w:pPr>
      <w:r>
        <w:t xml:space="preserve">Access agreements (PS-6)</w:t>
      </w:r>
    </w:p>
    <w:p>
      <w:pPr>
        <w:pStyle w:val="Guidance"/>
      </w:pPr>
      <w:r>
        <w:t xml:space="preserve">Access agreements include nondisclosure agreements, acceptable use agreements, rules of behavior and conflict-of-interest agreements (SP 800-53 PS-6 discussion). The</w:t>
      </w:r>
      <w:r>
        <w:t xml:space="preserve"> </w:t>
      </w:r>
      <w:hyperlink r:id="rId436">
        <w:r>
          <w:rPr>
            <w:rStyle w:val="Hyperlink"/>
          </w:rPr>
          <w:t xml:space="preserve">access agreement</w:t>
        </w:r>
      </w:hyperlink>
      <w:r>
        <w:t xml:space="preserve"> </w:t>
      </w:r>
      <w:r>
        <w:t xml:space="preserve">template covers nondisclosure and acceptable use, and takes in the</w:t>
      </w:r>
      <w:r>
        <w:t xml:space="preserve"> </w:t>
      </w:r>
      <w:hyperlink r:id="rId349">
        <w:r>
          <w:rPr>
            <w:rStyle w:val="Hyperlink"/>
          </w:rPr>
          <w:t xml:space="preserve">Rules of Behavior</w:t>
        </w:r>
      </w:hyperlink>
      <w:r>
        <w:t xml:space="preserve"> </w:t>
      </w:r>
      <w:r>
        <w:t xml:space="preserve">by reference; keeping both on the same annual cycle means one signature event a year. Electronic signatures are acceptable unless organizational policy prohibits them. PS-6 is also in the Privacy baseline.</w:t>
      </w:r>
    </w:p>
    <w:p>
      <w:pPr>
        <w:pStyle w:val="Compact"/>
        <w:numPr>
          <w:ilvl w:val="0"/>
          <w:numId w:val="1329"/>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329"/>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329"/>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329"/>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329"/>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437"/>
    <w:bookmarkStart w:id="438" w:name="external-personnel-security-ps-7"/>
    <w:p>
      <w:pPr>
        <w:pStyle w:val="Heading4"/>
      </w:pPr>
      <w:r>
        <w:t xml:space="preserve">External personnel security (PS-7)</w:t>
      </w:r>
    </w:p>
    <w:p>
      <w:pPr>
        <w:pStyle w:val="Guidance"/>
      </w:pPr>
      <w:r>
        <w:t xml:space="preserve">External providers include contractors, service bureaus, and organizations providing development, IT, assessment or security services. Put these requirements in the contract: screening to the same criteria as employees in comparable positions, signed access agreements, required training, and the notice of transfers and terminations. Monitor compliance by comparing the provider’s staff roster with the accounts and badges issued to its people.</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438"/>
    <w:bookmarkStart w:id="439" w:name="personnel-sanctions-ps-8"/>
    <w:p>
      <w:pPr>
        <w:pStyle w:val="Heading4"/>
      </w:pPr>
      <w:r>
        <w:t xml:space="preserve">Personnel sanctions (PS-8)</w:t>
      </w:r>
    </w:p>
    <w:p>
      <w:pPr>
        <w:pStyle w:val="Guidance"/>
      </w:pPr>
      <w:r>
        <w:t xml:space="preserve">Sanctions are usually part of the general human resources disciplinary process; this policy makes security and privacy violations subject to it and names who is told. Describe the sanctions in the access agreement and the rules of behavior so people know them before they sign. NIST advises consulting legal counsel on sanctions matters.</w:t>
      </w:r>
    </w:p>
    <w:p>
      <w:pPr>
        <w:pStyle w:val="Compact"/>
        <w:numPr>
          <w:ilvl w:val="0"/>
          <w:numId w:val="1331"/>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331"/>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439"/>
    <w:bookmarkStart w:id="440" w:name="position-descriptions-ps-9"/>
    <w:p>
      <w:pPr>
        <w:pStyle w:val="Heading4"/>
      </w:pPr>
      <w:r>
        <w:t xml:space="preserve">Position descriptions (PS-9)</w:t>
      </w:r>
    </w:p>
    <w:p>
      <w:pPr>
        <w:pStyle w:val="Guidance"/>
      </w:pPr>
      <w:r>
        <w:t xml:space="preserve">Every position description should carry the general duties all users have, such as following the rules of behavior and reporting incidents. Positions with security or privacy roles, such as system administrators, system security officers and privacy officers, need those roles written in, which also tells the training plan who needs role-based training (AT-3).</w:t>
      </w:r>
    </w:p>
    <w:p>
      <w:pPr>
        <w:pStyle w:val="Compact"/>
        <w:numPr>
          <w:ilvl w:val="0"/>
          <w:numId w:val="1332"/>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440"/>
    <w:bookmarkEnd w:id="441"/>
    <w:bookmarkStart w:id="464" w:name="risk-assessment-ra"/>
    <w:p>
      <w:pPr>
        <w:pStyle w:val="Heading3"/>
      </w:pPr>
      <w:r>
        <w:t xml:space="preserve">Risk Assessment (RA)</w:t>
      </w:r>
    </w:p>
    <w:bookmarkStart w:id="446" w:name="security-categorization-ra-2"/>
    <w:p>
      <w:pPr>
        <w:pStyle w:val="Heading4"/>
      </w:pPr>
      <w:r>
        <w:t xml:space="preserve">Security categorization (RA-2)</w:t>
      </w:r>
    </w:p>
    <w:p>
      <w:pPr>
        <w:pStyle w:val="Guidance"/>
      </w:pPr>
      <w:r>
        <w:t xml:space="preserve">Categorization rates how badly a loss of confidentiality, integrity or availability of the system and its information would hurt the organization, and it drives the choice of baseline (PL-10). Work it out with the</w:t>
      </w:r>
      <w:r>
        <w:t xml:space="preserve"> </w:t>
      </w:r>
      <w:hyperlink r:id="rId442">
        <w:r>
          <w:rPr>
            <w:rStyle w:val="Hyperlink"/>
          </w:rPr>
          <w:t xml:space="preserve">Security Categorization Worksheet</w:t>
        </w:r>
      </w:hyperlink>
      <w:r>
        <w:t xml:space="preserve"> </w:t>
      </w:r>
      <w:r>
        <w:t xml:space="preserve">and record the result in the categorization section of the</w:t>
      </w:r>
      <w:r>
        <w:t xml:space="preserve"> </w:t>
      </w:r>
      <w:hyperlink r:id="rId356">
        <w:r>
          <w:rPr>
            <w:rStyle w:val="Hyperlink"/>
          </w:rPr>
          <w:t xml:space="preserve">System Security Plan template</w:t>
        </w:r>
      </w:hyperlink>
      <w:r>
        <w:t xml:space="preserve">.</w:t>
      </w:r>
    </w:p>
    <w:p>
      <w:pPr>
        <w:pStyle w:val="Compact"/>
        <w:numPr>
          <w:ilvl w:val="0"/>
          <w:numId w:val="1333"/>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333"/>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333"/>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333"/>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445" w:name="federal-systems-38"/>
    <w:p>
      <w:pPr>
        <w:pStyle w:val="Heading5"/>
      </w:pPr>
      <w:r>
        <w:t xml:space="preserve">Federal systems</w:t>
      </w:r>
    </w:p>
    <w:p>
      <w:pPr>
        <w:pStyle w:val="FirstParagraph"/>
      </w:pPr>
      <w:r>
        <w:t xml:space="preserve">Federal systems categorize information and systems under</w:t>
      </w:r>
      <w:r>
        <w:t xml:space="preserve"> </w:t>
      </w:r>
      <w:hyperlink r:id="rId361">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443">
        <w:r>
          <w:rPr>
            <w:rStyle w:val="Hyperlink"/>
          </w:rPr>
          <w:t xml:space="preserve">NIST SP 800-60 Rev. 1</w:t>
        </w:r>
      </w:hyperlink>
      <w:r>
        <w:t xml:space="preserve"> </w:t>
      </w:r>
      <w:r>
        <w:t xml:space="preserve">(August 2008; Volume 2 lists the types). A</w:t>
      </w:r>
      <w:r>
        <w:t xml:space="preserve"> </w:t>
      </w:r>
      <w:hyperlink r:id="rId444">
        <w:r>
          <w:rPr>
            <w:rStyle w:val="Hyperlink"/>
          </w:rPr>
          <w:t xml:space="preserve">Rev. 2 initial working draft</w:t>
        </w:r>
      </w:hyperlink>
      <w:r>
        <w:t xml:space="preserve"> </w:t>
      </w:r>
      <w:r>
        <w:t xml:space="preserve">(January 2024) is not final, as of September 2026.</w:t>
      </w:r>
    </w:p>
    <w:p>
      <w:pPr>
        <w:pStyle w:val="Compact"/>
        <w:numPr>
          <w:ilvl w:val="0"/>
          <w:numId w:val="1334"/>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334"/>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445"/>
    <w:bookmarkEnd w:id="446"/>
    <w:bookmarkStart w:id="449" w:name="risk-assessment-ra-3"/>
    <w:p>
      <w:pPr>
        <w:pStyle w:val="Heading4"/>
      </w:pPr>
      <w:r>
        <w:t xml:space="preserve">Risk assessment (RA-3)</w:t>
      </w:r>
    </w:p>
    <w:p>
      <w:pPr>
        <w:pStyle w:val="Guidance"/>
      </w:pPr>
      <w:r>
        <w:t xml:space="preserve">A system risk assessment identifies threats and vulnerabilities, then estimates the likelihood and impact of harm, to the organization and, where the system processes personally identifiable information, to individuals. Use the method and scales the risk management strategy sets (PM-9, PM-28), so results from different systems can be compared. NIST SP 800-30 Rev. 1 is the usual reference for the method. Start from the</w:t>
      </w:r>
      <w:r>
        <w:t xml:space="preserve"> </w:t>
      </w:r>
      <w:hyperlink r:id="rId447">
        <w:r>
          <w:rPr>
            <w:rStyle w:val="Hyperlink"/>
          </w:rPr>
          <w:t xml:space="preserve">Risk Assessment Report template</w:t>
        </w:r>
      </w:hyperlink>
      <w:r>
        <w:t xml:space="preserve"> </w:t>
      </w:r>
      <w:r>
        <w:t xml:space="preserve">and record each risk in the</w:t>
      </w:r>
      <w:r>
        <w:t xml:space="preserve"> </w:t>
      </w:r>
      <w:hyperlink r:id="rId448">
        <w:r>
          <w:rPr>
            <w:rStyle w:val="Hyperlink"/>
          </w:rPr>
          <w:t xml:space="preserve">risk register</w:t>
        </w:r>
      </w:hyperlink>
      <w:r>
        <w:t xml:space="preserve">. Risks found here feed the plan of action and milestones (CA-5) and the risk response (RA-7).</w:t>
      </w:r>
    </w:p>
    <w:p>
      <w:pPr>
        <w:pStyle w:val="Compact"/>
        <w:numPr>
          <w:ilvl w:val="0"/>
          <w:numId w:val="1335"/>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335"/>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335"/>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335"/>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335"/>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335"/>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335"/>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335"/>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449"/>
    <w:bookmarkStart w:id="450" w:name="supply-chain-risk-assessment-ra-31"/>
    <w:p>
      <w:pPr>
        <w:pStyle w:val="Heading4"/>
      </w:pPr>
      <w:r>
        <w:t xml:space="preserve">Supply chain risk assessment (RA-3(1))</w:t>
      </w:r>
    </w:p>
    <w:p>
      <w:pPr>
        <w:pStyle w:val="Guidance"/>
      </w:pPr>
      <w:r>
        <w:t xml:space="preserve">The supply chain risk assessment looks at the suppliers, products and services a system depends on: where they come from, how they are built and delivered, and what happens if one fails or is compromised. It applies the organization’s supply chain risk management strategy (PM-30) and plan (SR-2) to the system.</w:t>
      </w:r>
    </w:p>
    <w:p>
      <w:pPr>
        <w:pStyle w:val="Compact"/>
        <w:numPr>
          <w:ilvl w:val="0"/>
          <w:numId w:val="1336"/>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336"/>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450"/>
    <w:bookmarkStart w:id="455" w:name="X31ac242ebdd864f1ae371123ffa1b593dcfd685"/>
    <w:p>
      <w:pPr>
        <w:pStyle w:val="Heading4"/>
      </w:pPr>
      <w:r>
        <w:t xml:space="preserve">Vulnerability monitoring and scanning (RA-5)</w:t>
      </w:r>
    </w:p>
    <w:p>
      <w:pPr>
        <w:pStyle w:val="Guidance"/>
      </w:pPr>
      <w:r>
        <w:t xml:space="preserve">Monitoring means watching for newly announced vulnerabilities that affect the system’s components; scanning means testing the components themselves. Set remediation times by risk, and move known exploited vulnerabilities to the front. A vulnerability not fixed in time becomes a plan of action and milestones item (CA-5) or an approved risk acceptance (RA-7). Standards for naming and scoring vulnerabilities include CVE, CPE and CVSS. The</w:t>
      </w:r>
      <w:r>
        <w:t xml:space="preserve"> </w:t>
      </w:r>
      <w:hyperlink r:id="rId451">
        <w:r>
          <w:rPr>
            <w:rStyle w:val="Hyperlink"/>
          </w:rPr>
          <w:t xml:space="preserve">Vulnerability Management Standard</w:t>
        </w:r>
      </w:hyperlink>
      <w:r>
        <w:t xml:space="preserve"> </w:t>
      </w:r>
      <w:r>
        <w:t xml:space="preserve">sets the coverage, frequencies and remediation times in detail.</w:t>
      </w:r>
    </w:p>
    <w:p>
      <w:pPr>
        <w:pStyle w:val="Compact"/>
        <w:numPr>
          <w:ilvl w:val="0"/>
          <w:numId w:val="1337"/>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337"/>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337"/>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337"/>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337"/>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337"/>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337"/>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454" w:name="federal-systems-39"/>
    <w:p>
      <w:pPr>
        <w:pStyle w:val="Heading5"/>
      </w:pPr>
      <w:r>
        <w:t xml:space="preserve">Federal systems</w:t>
      </w:r>
    </w:p>
    <w:p>
      <w:pPr>
        <w:pStyle w:val="FirstParagraph"/>
      </w:pPr>
      <w:r>
        <w:t xml:space="preserve">CISA binding operational directives set minimums for federal civilian agencies (as of September 2026).</w:t>
      </w:r>
      <w:r>
        <w:t xml:space="preserve"> </w:t>
      </w:r>
      <w:hyperlink r:id="rId452">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453">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338"/>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338"/>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454"/>
    <w:bookmarkEnd w:id="455"/>
    <w:bookmarkStart w:id="456" w:name="Xfe0b4acf041bc64d1ef6c767f45e266c2b44842"/>
    <w:p>
      <w:pPr>
        <w:pStyle w:val="Heading4"/>
      </w:pPr>
      <w:r>
        <w:t xml:space="preserve">Update vulnerabilities to be scanned (RA-5(2))</w:t>
      </w:r>
    </w:p>
    <w:p>
      <w:pPr>
        <w:pStyle w:val="Compact"/>
        <w:numPr>
          <w:ilvl w:val="0"/>
          <w:numId w:val="1339"/>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456"/>
    <w:bookmarkStart w:id="457" w:name="discoverable-information-ra-54"/>
    <w:p>
      <w:pPr>
        <w:pStyle w:val="Heading4"/>
      </w:pPr>
      <w:r>
        <w:t xml:space="preserve">Discoverable information (RA-5(4))</w:t>
      </w:r>
    </w:p>
    <w:p>
      <w:pPr>
        <w:pStyle w:val="Guidance"/>
      </w:pPr>
      <w:r>
        <w:t xml:space="preserve">Discoverable information is what an outsider can learn about the system without authorized access: banners and version strings, public DNS and certificate records, code repositories, job postings and documents on public sites. Check it the way an attacker would, as part of scanning or a penetration test.</w:t>
      </w:r>
    </w:p>
    <w:p>
      <w:pPr>
        <w:pStyle w:val="Compact"/>
        <w:numPr>
          <w:ilvl w:val="0"/>
          <w:numId w:val="1340"/>
        </w:numPr>
      </w:pPr>
      <w:r>
        <w:t xml:space="preserve">The</w:t>
      </w:r>
      <w:r>
        <w:t xml:space="preserve"> </w:t>
      </w:r>
      <w:r>
        <w:rPr>
          <w:rStyle w:val="Fill-in"/>
        </w:rPr>
        <w:t xml:space="preserve">[System owner]</w:t>
      </w:r>
      <w:r>
        <w:t xml:space="preserve"> </w:t>
      </w:r>
      <w:r>
        <w:t xml:space="preserve">shall determine what information about the system is discoverable. (RA-5(4))</w:t>
      </w:r>
    </w:p>
    <w:p>
      <w:pPr>
        <w:pStyle w:val="Compact"/>
        <w:numPr>
          <w:ilvl w:val="0"/>
          <w:numId w:val="1340"/>
        </w:numPr>
      </w:pPr>
      <w:r>
        <w:t xml:space="preserve">The</w:t>
      </w:r>
      <w:r>
        <w:t xml:space="preserve"> </w:t>
      </w:r>
      <w:r>
        <w:rPr>
          <w:rStyle w:val="Fill-in"/>
        </w:rPr>
        <w:t xml:space="preserve">[System owner]</w:t>
      </w:r>
      <w:r>
        <w:t xml:space="preserve"> </w:t>
      </w:r>
      <w:r>
        <w:t xml:space="preserve">shall take the following corrective actions for discoverable information:</w:t>
      </w:r>
      <w:r>
        <w:t xml:space="preserve"> </w:t>
      </w:r>
      <w:r>
        <w:rPr>
          <w:rStyle w:val="Fill-in"/>
        </w:rPr>
        <w:t xml:space="preserve">[Fill in: corrective actions to be taken if information about the system is discoverable. Typical: removing or restricting the information where possible, and treating any that exposes a weakness as a finding for the plan of action and milestones]</w:t>
      </w:r>
      <w:r>
        <w:t xml:space="preserve">. (RA-5(4))</w:t>
      </w:r>
    </w:p>
    <w:bookmarkEnd w:id="457"/>
    <w:bookmarkStart w:id="458" w:name="privileged-access-ra-55"/>
    <w:p>
      <w:pPr>
        <w:pStyle w:val="Heading4"/>
      </w:pPr>
      <w:r>
        <w:t xml:space="preserve">Privileged access (RA-5(5))</w:t>
      </w:r>
    </w:p>
    <w:p>
      <w:pPr>
        <w:pStyle w:val="Guidance"/>
      </w:pPr>
      <w:r>
        <w:t xml:space="preserve">Scans that log in find far more missing patches and weak settings than scans that only probe from the network. The scanning accounts are privileged accounts, so manage them under AC-2 and AC-6 like any other.</w:t>
      </w:r>
    </w:p>
    <w:p>
      <w:pPr>
        <w:pStyle w:val="Compact"/>
        <w:numPr>
          <w:ilvl w:val="0"/>
          <w:numId w:val="1341"/>
        </w:numPr>
      </w:pPr>
      <w:r>
        <w:t xml:space="preserve">The</w:t>
      </w:r>
      <w:r>
        <w:t xml:space="preserve"> </w:t>
      </w:r>
      <w:r>
        <w:rPr>
          <w:rStyle w:val="Fill-in"/>
        </w:rPr>
        <w:t xml:space="preserve">[System owner]</w:t>
      </w:r>
      <w:r>
        <w:t xml:space="preserve"> </w:t>
      </w:r>
      <w:r>
        <w:t xml:space="preserve">shall authorize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bookmarkEnd w:id="458"/>
    <w:bookmarkStart w:id="461" w:name="public-disclosure-program-ra-511"/>
    <w:p>
      <w:pPr>
        <w:pStyle w:val="Heading4"/>
      </w:pPr>
      <w:r>
        <w:t xml:space="preserve">Public disclosure program (RA-5(11))</w:t>
      </w:r>
    </w:p>
    <w:p>
      <w:pPr>
        <w:pStyle w:val="Guidance"/>
      </w:pPr>
      <w:r>
        <w:t xml:space="preserve">A public reporting channel lets researchers and others tell the organization about vulnerabilities they find. It is usually a published vulnerability disclosure policy that says which systems are in scope, how to report, what the organization will do with a report, and that good-faith research is authorized.</w:t>
      </w:r>
    </w:p>
    <w:p>
      <w:pPr>
        <w:pStyle w:val="Compact"/>
        <w:numPr>
          <w:ilvl w:val="0"/>
          <w:numId w:val="1342"/>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342"/>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342"/>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460" w:name="federal-systems-40"/>
    <w:p>
      <w:pPr>
        <w:pStyle w:val="Heading5"/>
      </w:pPr>
      <w:r>
        <w:t xml:space="preserve">Federal systems</w:t>
      </w:r>
    </w:p>
    <w:p>
      <w:pPr>
        <w:pStyle w:val="FirstParagraph"/>
      </w:pPr>
      <w:hyperlink r:id="rId459">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343"/>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460"/>
    <w:bookmarkEnd w:id="461"/>
    <w:bookmarkStart w:id="462" w:name="risk-response-ra-7"/>
    <w:p>
      <w:pPr>
        <w:pStyle w:val="Heading4"/>
      </w:pPr>
      <w:r>
        <w:t xml:space="preserve">Risk response (RA-7)</w:t>
      </w:r>
    </w:p>
    <w:p>
      <w:pPr>
        <w:pStyle w:val="Guidance"/>
      </w:pPr>
      <w:r>
        <w:t xml:space="preserve">Every finding from an assessment, monitoring or audit needs a decision: fix it, avoid it, share or transfer it, or accept it. The risk management strategy sets the organization’s risk tolerance and the roles the authorizing official consults before accepting risk at each level (PM-9, PM-28). Fixes that take time go in the plan of action and milestones (CA-5); every response, including acceptance, goes in the</w:t>
      </w:r>
      <w:r>
        <w:t xml:space="preserve"> </w:t>
      </w:r>
      <w:hyperlink r:id="rId448">
        <w:r>
          <w:rPr>
            <w:rStyle w:val="Hyperlink"/>
          </w:rPr>
          <w:t xml:space="preserve">risk register</w:t>
        </w:r>
      </w:hyperlink>
      <w:r>
        <w:t xml:space="preserve">.</w:t>
      </w:r>
    </w:p>
    <w:p>
      <w:pPr>
        <w:pStyle w:val="Compact"/>
        <w:numPr>
          <w:ilvl w:val="0"/>
          <w:numId w:val="1344"/>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344"/>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344"/>
        </w:numPr>
      </w:pPr>
      <w:r>
        <w:t xml:space="preserve">A risk to an authorized system shall be accepted only by its authorizing official, after consulting the roles the risk management strategy names for that risk level. (RA-7)</w:t>
      </w:r>
    </w:p>
    <w:bookmarkEnd w:id="462"/>
    <w:bookmarkStart w:id="463" w:name="criticality-analysis-ra-9"/>
    <w:p>
      <w:pPr>
        <w:pStyle w:val="Heading4"/>
      </w:pPr>
      <w:r>
        <w:t xml:space="preserve">Criticality analysis (RA-9)</w:t>
      </w:r>
    </w:p>
    <w:p>
      <w:pPr>
        <w:pStyle w:val="Guidance"/>
      </w:pPr>
      <w:r>
        <w:t xml:space="preserve">A criticality analysis finds the components and functions whose failure or compromise would stop the system’s mission or business functions. The results focus supply chain protections (RA-3(1), SR family) and engineering effort on what matters most.</w:t>
      </w:r>
    </w:p>
    <w:p>
      <w:pPr>
        <w:pStyle w:val="Compact"/>
        <w:numPr>
          <w:ilvl w:val="0"/>
          <w:numId w:val="1345"/>
        </w:numPr>
      </w:pPr>
      <w:r>
        <w:t xml:space="preserve">The</w:t>
      </w:r>
      <w:r>
        <w:t xml:space="preserve"> </w:t>
      </w:r>
      <w:r>
        <w:rPr>
          <w:rStyle w:val="Fill-in"/>
        </w:rPr>
        <w:t xml:space="preserve">[System owner]</w:t>
      </w:r>
      <w:r>
        <w:t xml:space="preserve"> </w:t>
      </w:r>
      <w:r>
        <w:t xml:space="preserve">shall identify critical system components and functions by performing a criticality analysis for</w:t>
      </w:r>
      <w:r>
        <w:t xml:space="preserve"> </w:t>
      </w:r>
      <w:r>
        <w:rPr>
          <w:rStyle w:val="Fill-in"/>
        </w:rPr>
        <w:t xml:space="preserve">[Fill in: systems, system components, or system services to be analyzed for criticality. Typical: each Moderate and High system, and the components and services that support its critical functions]</w:t>
      </w:r>
      <w:r>
        <w:t xml:space="preserve"> </w:t>
      </w:r>
      <w:r>
        <w:t xml:space="preserve">at</w:t>
      </w:r>
      <w:r>
        <w:t xml:space="preserve"> </w:t>
      </w:r>
      <w:r>
        <w:rPr>
          <w:rStyle w:val="Fill-in"/>
        </w:rPr>
        <w:t xml:space="preserve">[Fill in: decision points in the system development life cycle when a criticality analysis is to be performed. Typical: during design, before acquiring major components or services, and when the architecture changes significantly]</w:t>
      </w:r>
      <w:r>
        <w:t xml:space="preserve">. (RA-9)</w:t>
      </w:r>
    </w:p>
    <w:bookmarkEnd w:id="463"/>
    <w:bookmarkEnd w:id="464"/>
    <w:bookmarkStart w:id="502" w:name="system-and-services-acquisition-sa"/>
    <w:p>
      <w:pPr>
        <w:pStyle w:val="Heading3"/>
      </w:pPr>
      <w:r>
        <w:t xml:space="preserve">System and Services Acquisition (SA)</w:t>
      </w:r>
    </w:p>
    <w:bookmarkStart w:id="466" w:name="allocation-of-resources-sa-2"/>
    <w:p>
      <w:pPr>
        <w:pStyle w:val="Heading4"/>
      </w:pPr>
      <w:r>
        <w:t xml:space="preserve">Allocation of resources (SA-2)</w:t>
      </w:r>
    </w:p>
    <w:p>
      <w:pPr>
        <w:pStyle w:val="Guidance"/>
      </w:pPr>
      <w:r>
        <w:t xml:space="preserve">SA-2 makes security and privacy part of the business case for each system, not a cost found later. NIST’s SA-2 discussion includes funding for acquisition, sustainment and supply chain risk across the whole life cycle. Evidence is the requirements in the planning documents and a separate security and privacy line in the budget request; the organization-wide side of this is PM-3.</w:t>
      </w:r>
    </w:p>
    <w:p>
      <w:pPr>
        <w:pStyle w:val="Compact"/>
        <w:numPr>
          <w:ilvl w:val="0"/>
          <w:numId w:val="1346"/>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346"/>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346"/>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34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465" w:name="federal-systems-41"/>
    <w:p>
      <w:pPr>
        <w:pStyle w:val="Heading5"/>
      </w:pPr>
      <w:r>
        <w:t xml:space="preserve">Federal systems</w:t>
      </w:r>
    </w:p>
    <w:p>
      <w:pPr>
        <w:pStyle w:val="FirstParagraph"/>
      </w:pPr>
      <w:hyperlink r:id="rId77">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347"/>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347"/>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465"/>
    <w:bookmarkEnd w:id="466"/>
    <w:bookmarkStart w:id="468" w:name="system-development-life-cycle-sa-3"/>
    <w:p>
      <w:pPr>
        <w:pStyle w:val="Heading4"/>
      </w:pPr>
      <w:r>
        <w:t xml:space="preserve">System development life cycle (SA-3)</w:t>
      </w:r>
    </w:p>
    <w:p>
      <w:pPr>
        <w:pStyle w:val="Guidance"/>
      </w:pPr>
      <w:r>
        <w:t xml:space="preserve">The system development life cycle (SDLC) is where the Risk Management Framework’s tasks happen: NIST SP 800-37 Rev. 2 (</w:t>
      </w:r>
      <w:hyperlink r:id="rId135">
        <w:r>
          <w:rPr>
            <w:rStyle w:val="Hyperlink"/>
          </w:rPr>
          <w:t xml:space="preserve">December 2018</w:t>
        </w:r>
      </w:hyperlink>
      <w:r>
        <w:t xml:space="preserve">, current as of September 2026) ties each RMF task to an SDLC phase, using the phase names in the typical value. NIST’s SA-3 discussion calls for qualified security and privacy staff in SDLC processes and role-based training for them (AT-3). SA-3 leaves the life cycle model to the organization, iterative or sequential; what an assessor checks is that each phase has defined security and privacy activities and someone accountable for them.</w:t>
      </w:r>
    </w:p>
    <w:p>
      <w:pPr>
        <w:pStyle w:val="Compact"/>
        <w:numPr>
          <w:ilvl w:val="0"/>
          <w:numId w:val="1348"/>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34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348"/>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348"/>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467" w:name="federal-systems-42"/>
    <w:p>
      <w:pPr>
        <w:pStyle w:val="Heading5"/>
      </w:pPr>
      <w:r>
        <w:t xml:space="preserve">Federal systems</w:t>
      </w:r>
    </w:p>
    <w:p>
      <w:pPr>
        <w:pStyle w:val="FirstParagraph"/>
      </w:pPr>
      <w:hyperlink r:id="rId77">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349"/>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467"/>
    <w:bookmarkEnd w:id="468"/>
    <w:bookmarkStart w:id="473" w:name="acquisition-process-sa-4"/>
    <w:p>
      <w:pPr>
        <w:pStyle w:val="Heading4"/>
      </w:pPr>
      <w:r>
        <w:t xml:space="preserve">Acquisition process (SA-4)</w:t>
      </w:r>
    </w:p>
    <w:p>
      <w:pPr>
        <w:pStyle w:val="Guidance"/>
      </w:pPr>
      <w:r>
        <w:t xml:space="preserve">SA-4 puts the security and privacy requirements into the contract, where a supplier is bound by them. NIST’s SA-4 discussion derives the functional requirements from the high-level requirements set under SA-2, and points to NIST SP 800-160 Vol. 1 Rev. 1, Engineering Trustworthy Secure Systems (</w:t>
      </w:r>
      <w:hyperlink r:id="rId469">
        <w:r>
          <w:rPr>
            <w:rStyle w:val="Hyperlink"/>
          </w:rPr>
          <w:t xml:space="preserve">November 2022</w:t>
        </w:r>
      </w:hyperlink>
      <w:r>
        <w:t xml:space="preserve">, current as of September 2026), for requirements engineering. Standard clauses keep contracts consistent; each acquisition still needs its own requirements, controls and acceptance criteria. Assessors sample recent contracts for a system and check each item a to i is present, in the text or by reference. The</w:t>
      </w:r>
      <w:r>
        <w:t xml:space="preserve"> </w:t>
      </w:r>
      <w:hyperlink r:id="rId470">
        <w:r>
          <w:rPr>
            <w:rStyle w:val="Hyperlink"/>
          </w:rPr>
          <w:t xml:space="preserve">acquisition security requirements</w:t>
        </w:r>
      </w:hyperlink>
      <w:r>
        <w:t xml:space="preserve"> </w:t>
      </w:r>
      <w:r>
        <w:t xml:space="preserve">standard gives the standard contract requirements and the checklist for the solicitation review.</w:t>
      </w:r>
    </w:p>
    <w:p>
      <w:pPr>
        <w:pStyle w:val="Compact"/>
        <w:numPr>
          <w:ilvl w:val="0"/>
          <w:numId w:val="1350"/>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350"/>
        </w:numPr>
      </w:pPr>
      <w:r>
        <w:t xml:space="preserve">The contract shall state the security and privacy functional requirements. (SA-4a)</w:t>
      </w:r>
    </w:p>
    <w:p>
      <w:pPr>
        <w:pStyle w:val="Compact"/>
        <w:numPr>
          <w:ilvl w:val="0"/>
          <w:numId w:val="1350"/>
        </w:numPr>
      </w:pPr>
      <w:r>
        <w:t xml:space="preserve">The contract shall state the strength of mechanism requirements, such as resistance to tampering, bypass and direct attack. (SA-4b)</w:t>
      </w:r>
    </w:p>
    <w:p>
      <w:pPr>
        <w:pStyle w:val="Compact"/>
        <w:numPr>
          <w:ilvl w:val="0"/>
          <w:numId w:val="1350"/>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350"/>
        </w:numPr>
      </w:pPr>
      <w:r>
        <w:t xml:space="preserve">The contract shall state the controls needed to satisfy the security and privacy requirements, with any control parameter values the supplier must meet. (SA-4d)</w:t>
      </w:r>
    </w:p>
    <w:p>
      <w:pPr>
        <w:pStyle w:val="Compact"/>
        <w:numPr>
          <w:ilvl w:val="0"/>
          <w:numId w:val="1350"/>
        </w:numPr>
      </w:pPr>
      <w:r>
        <w:t xml:space="preserve">The contract shall state the security and privacy documentation requirements (SA-5). (SA-4e)</w:t>
      </w:r>
    </w:p>
    <w:p>
      <w:pPr>
        <w:pStyle w:val="Compact"/>
        <w:numPr>
          <w:ilvl w:val="0"/>
          <w:numId w:val="1350"/>
        </w:numPr>
      </w:pPr>
      <w:r>
        <w:t xml:space="preserve">The contract shall state the requirements for protecting security and privacy documentation. (SA-4f)</w:t>
      </w:r>
    </w:p>
    <w:p>
      <w:pPr>
        <w:pStyle w:val="Compact"/>
        <w:numPr>
          <w:ilvl w:val="0"/>
          <w:numId w:val="1350"/>
        </w:numPr>
      </w:pPr>
      <w:r>
        <w:t xml:space="preserve">The contract shall describe the system development environment and the environment in which the system is intended to operate. (SA-4g)</w:t>
      </w:r>
    </w:p>
    <w:p>
      <w:pPr>
        <w:pStyle w:val="Compact"/>
        <w:numPr>
          <w:ilvl w:val="0"/>
          <w:numId w:val="1350"/>
        </w:numPr>
      </w:pPr>
      <w:r>
        <w:t xml:space="preserve">The contract shall allocate responsibility for, or identify the parties responsible for, information security, privacy and supply chain risk management. (SA-4h)</w:t>
      </w:r>
    </w:p>
    <w:p>
      <w:pPr>
        <w:pStyle w:val="Compact"/>
        <w:numPr>
          <w:ilvl w:val="0"/>
          <w:numId w:val="1350"/>
        </w:numPr>
      </w:pPr>
      <w:r>
        <w:t xml:space="preserve">The contract shall state the acceptance criteria for the system, component or service. (SA-4i)</w:t>
      </w:r>
    </w:p>
    <w:p>
      <w:pPr>
        <w:pStyle w:val="Compact"/>
        <w:numPr>
          <w:ilvl w:val="0"/>
          <w:numId w:val="1350"/>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p>
      <w:pPr>
        <w:pStyle w:val="Guidance"/>
      </w:pPr>
      <w:r>
        <w:t xml:space="preserve">NIST’s SA-4 discussion also suggests other requirements that support security and operations: the responsibilities of the organization and the developer, and notice and timing for support, maintenance and updates. Add the time within which a supplier must report an incident or a vulnerability in its product, and how long it will provide security updates, since both drive IR-6 and SA-22.</w:t>
      </w:r>
    </w:p>
    <w:bookmarkStart w:id="472" w:name="federal-systems-43"/>
    <w:p>
      <w:pPr>
        <w:pStyle w:val="Heading5"/>
      </w:pPr>
      <w:r>
        <w:t xml:space="preserve">Federal systems</w:t>
      </w:r>
    </w:p>
    <w:p>
      <w:pPr>
        <w:pStyle w:val="FirstParagraph"/>
      </w:pPr>
      <w:hyperlink r:id="rId77">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471">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351"/>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351"/>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472"/>
    <w:bookmarkEnd w:id="473"/>
    <w:bookmarkStart w:id="474" w:name="functional-properties-of-controls-sa-41"/>
    <w:p>
      <w:pPr>
        <w:pStyle w:val="Heading4"/>
      </w:pPr>
      <w:r>
        <w:t xml:space="preserve">Functional properties of controls (SA-4(1))</w:t>
      </w:r>
    </w:p>
    <w:p>
      <w:pPr>
        <w:pStyle w:val="Guidance"/>
      </w:pPr>
      <w:r>
        <w:t xml:space="preserve">Functional properties are what a control does as seen at its interfaces: the security or privacy functions a user, administrator or other component can call on, not how the control works inside. NIST’s SA-4(1) discussion excludes internal functions and data structures. The description lets the system owner check that each control the contract requires is actually delivered, and gives assessors something to test against.</w:t>
      </w:r>
    </w:p>
    <w:p>
      <w:pPr>
        <w:pStyle w:val="Compact"/>
        <w:numPr>
          <w:ilvl w:val="0"/>
          <w:numId w:val="1352"/>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a description of the functional properties of the controls to be implemented. (SA-4(1))</w:t>
      </w:r>
    </w:p>
    <w:p>
      <w:pPr>
        <w:pStyle w:val="Compact"/>
        <w:numPr>
          <w:ilvl w:val="0"/>
          <w:numId w:val="1352"/>
        </w:numPr>
      </w:pPr>
      <w:r>
        <w:t xml:space="preserve">The</w:t>
      </w:r>
      <w:r>
        <w:t xml:space="preserve"> </w:t>
      </w:r>
      <w:r>
        <w:rPr>
          <w:rStyle w:val="Fill-in"/>
        </w:rPr>
        <w:t xml:space="preserve">[System owner]</w:t>
      </w:r>
      <w:r>
        <w:t xml:space="preserve"> </w:t>
      </w:r>
      <w:r>
        <w:t xml:space="preserve">shall accept the description only when it covers every control the contract allocates to the developer. (SA-4(1))</w:t>
      </w:r>
    </w:p>
    <w:bookmarkEnd w:id="474"/>
    <w:bookmarkStart w:id="475" w:name="Xeb2695f3a63295baa6033de0dbfa99d3267a330"/>
    <w:p>
      <w:pPr>
        <w:pStyle w:val="Heading4"/>
      </w:pPr>
      <w:r>
        <w:t xml:space="preserve">Design and implementation information for controls (SA-4(2))</w:t>
      </w:r>
    </w:p>
    <w:p>
      <w:pPr>
        <w:pStyle w:val="Guidance"/>
      </w:pPr>
      <w:r>
        <w:t xml:space="preserve">NIST’s SA-4(2) discussion describes the levels: high-level design is expressed in subsystems and the interfaces between them, low-level design in modules, and source code or hardware schematics are the implementation itself. Most commercial products provide interface and high-level design information only; ask for more where the system’s risk warrants it, and say so in the solicitation. The discussion adds that the information can include the manufacturer, version, serial number, verification hash, software libraries used, and the date and source of purchase or download.</w:t>
      </w:r>
    </w:p>
    <w:p>
      <w:pPr>
        <w:pStyle w:val="Compact"/>
        <w:numPr>
          <w:ilvl w:val="0"/>
          <w:numId w:val="1353"/>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353"/>
        </w:numPr>
      </w:pPr>
      <w:r>
        <w:t xml:space="preserve">The</w:t>
      </w:r>
      <w:r>
        <w:t xml:space="preserve"> </w:t>
      </w:r>
      <w:r>
        <w:rPr>
          <w:rStyle w:val="Fill-in"/>
        </w:rPr>
        <w:t xml:space="preserve">[System owner]</w:t>
      </w:r>
      <w:r>
        <w:t xml:space="preserve"> </w:t>
      </w:r>
      <w:r>
        <w:t xml:space="preserve">shall protect the design and implementation information according to the system’s security category, as the contract’s documentation protection requirements set (SA-4f). (SA-4(2))</w:t>
      </w:r>
    </w:p>
    <w:bookmarkEnd w:id="475"/>
    <w:bookmarkStart w:id="476" w:name="X6153170058262b5c75c6cbef6dc538c339ee621"/>
    <w:p>
      <w:pPr>
        <w:pStyle w:val="Heading4"/>
      </w:pPr>
      <w:r>
        <w:t xml:space="preserve">System, component and service configurations (SA-4(5))</w:t>
      </w:r>
    </w:p>
    <w:p>
      <w:pPr>
        <w:pStyle w:val="Guidance"/>
      </w:pPr>
      <w:r>
        <w:t xml:space="preserve">Delivering secure configurations saves hardening each component after it arrives, and keeps reinstallation from quietly restoring insecure defaults. NIST’s SA-4(5) discussion gives as examples the U.S. Government Configuration Baseline (USGCB), Security Technical Implementation Guides (STIGs), limits on functions, ports, protocols and services, and changed default passwords. Use the same baselines as configuration settings (CM-6), so delivered components pass the same checks as the rest of the system.</w:t>
      </w:r>
    </w:p>
    <w:p>
      <w:pPr>
        <w:pStyle w:val="Compact"/>
        <w:numPr>
          <w:ilvl w:val="0"/>
          <w:numId w:val="1354"/>
        </w:numPr>
      </w:pPr>
      <w:r>
        <w:t xml:space="preserve">The</w:t>
      </w:r>
      <w:r>
        <w:t xml:space="preserve"> </w:t>
      </w:r>
      <w:r>
        <w:rPr>
          <w:rStyle w:val="Fill-in"/>
        </w:rPr>
        <w:t xml:space="preserve">[System owner]</w:t>
      </w:r>
      <w:r>
        <w:t xml:space="preserve"> </w:t>
      </w:r>
      <w:r>
        <w:t xml:space="preserve">shall require the developer of the system, system component or system service to deliver it with</w:t>
      </w:r>
      <w:r>
        <w:t xml:space="preserve"> </w:t>
      </w:r>
      <w:r>
        <w:rPr>
          <w:rStyle w:val="Fill-in"/>
        </w:rPr>
        <w:t xml:space="preserve">[Fill in: security configurations for the system, component, or service. Typical: the secure configuration baselines named in the baseline configuration standard for that type of component, with default passwords changed and the functions, ports, protocols and services not needed disabled]</w:t>
      </w:r>
      <w:r>
        <w:t xml:space="preserve"> </w:t>
      </w:r>
      <w:r>
        <w:t xml:space="preserve">implemented. (SA-4(5)(a))</w:t>
      </w:r>
    </w:p>
    <w:p>
      <w:pPr>
        <w:pStyle w:val="Compact"/>
        <w:numPr>
          <w:ilvl w:val="0"/>
          <w:numId w:val="1354"/>
        </w:numPr>
      </w:pPr>
      <w:r>
        <w:t xml:space="preserve">The</w:t>
      </w:r>
      <w:r>
        <w:t xml:space="preserve"> </w:t>
      </w:r>
      <w:r>
        <w:rPr>
          <w:rStyle w:val="Fill-in"/>
        </w:rPr>
        <w:t xml:space="preserve">[System owner]</w:t>
      </w:r>
      <w:r>
        <w:t xml:space="preserve"> </w:t>
      </w:r>
      <w:r>
        <w:t xml:space="preserve">shall require the developer to use those configurations as the default for any later reinstallation or upgrade of the system, component or service. (SA-4(5)(b))</w:t>
      </w:r>
    </w:p>
    <w:bookmarkEnd w:id="476"/>
    <w:bookmarkStart w:id="477" w:name="X419771c8249d4b966b57f8f8e7faaee7f35c9c4"/>
    <w:p>
      <w:pPr>
        <w:pStyle w:val="Heading4"/>
      </w:pPr>
      <w:r>
        <w:t xml:space="preserve">Functions, ports, protocols and services in use (SA-4(9))</w:t>
      </w:r>
    </w:p>
    <w:p>
      <w:pPr>
        <w:pStyle w:val="Guidance"/>
      </w:pPr>
      <w:r>
        <w:t xml:space="preserve">Knowing the functions, ports, protocols and services a product needs before it is bought lets the organization refuse risky ones early, instead of retrofitting controls later, as NIST’s SA-4(9) discussion notes. The developer’s list becomes the starting point for least functionality (CM-7) and for boundary protection rules (SC-7). For external services the matching requirement is SA-9(2).</w:t>
      </w:r>
    </w:p>
    <w:p>
      <w:pPr>
        <w:pStyle w:val="Compact"/>
        <w:numPr>
          <w:ilvl w:val="0"/>
          <w:numId w:val="1355"/>
        </w:numPr>
      </w:pPr>
      <w:r>
        <w:t xml:space="preserve">The</w:t>
      </w:r>
      <w:r>
        <w:t xml:space="preserve"> </w:t>
      </w:r>
      <w:r>
        <w:rPr>
          <w:rStyle w:val="Fill-in"/>
        </w:rPr>
        <w:t xml:space="preserve">[System owner]</w:t>
      </w:r>
      <w:r>
        <w:t xml:space="preserve"> </w:t>
      </w:r>
      <w:r>
        <w:t xml:space="preserve">shall require the developer of the system, system component or system service to identify, early in the system development life cycle, the functions, ports, protocols and services intended for organizational use. (SA-4(9))</w:t>
      </w:r>
    </w:p>
    <w:p>
      <w:pPr>
        <w:pStyle w:val="Compact"/>
        <w:numPr>
          <w:ilvl w:val="0"/>
          <w:numId w:val="1355"/>
        </w:numPr>
      </w:pPr>
      <w:r>
        <w:t xml:space="preserve">The</w:t>
      </w:r>
      <w:r>
        <w:t xml:space="preserve"> </w:t>
      </w:r>
      <w:r>
        <w:rPr>
          <w:rStyle w:val="Fill-in"/>
        </w:rPr>
        <w:t xml:space="preserve">[System owner]</w:t>
      </w:r>
      <w:r>
        <w:t xml:space="preserve"> </w:t>
      </w:r>
      <w:r>
        <w:t xml:space="preserve">shall review the list against the organization’s prohibited and restricted functions, ports, protocols and services (CM-7) before the design or product is accepted, and record it in the system security plan. (SA-4(9))</w:t>
      </w:r>
    </w:p>
    <w:bookmarkEnd w:id="477"/>
    <w:bookmarkStart w:id="480" w:name="use-of-approved-piv-products-sa-410"/>
    <w:p>
      <w:pPr>
        <w:pStyle w:val="Heading4"/>
      </w:pPr>
      <w:r>
        <w:t xml:space="preserve">Use of approved PIV products (SA-4(10))</w:t>
      </w:r>
    </w:p>
    <w:p>
      <w:pPr>
        <w:pStyle w:val="Guidance"/>
      </w:pPr>
      <w:r>
        <w:t xml:space="preserve">Personal Identity Verification (PIV) is the U.S. federal smart card credential, and the FIPS 201 Approved Products List names the products tested against its standard. An organization outside the federal government meets this enhancement where it implements PIV or PIV-interoperable capability; if the system implements none, record the enhancement as not applicable in the system security plan with that reason, as for IA-2(12).</w:t>
      </w:r>
    </w:p>
    <w:p>
      <w:pPr>
        <w:pStyle w:val="Compact"/>
        <w:numPr>
          <w:ilvl w:val="0"/>
          <w:numId w:val="1356"/>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356"/>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479" w:name="federal-systems-44"/>
    <w:p>
      <w:pPr>
        <w:pStyle w:val="Heading5"/>
      </w:pPr>
      <w:r>
        <w:t xml:space="preserve">Federal systems</w:t>
      </w:r>
    </w:p>
    <w:p>
      <w:pPr>
        <w:pStyle w:val="FirstParagraph"/>
      </w:pPr>
      <w:hyperlink r:id="rId231">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478">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357"/>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479"/>
    <w:bookmarkEnd w:id="480"/>
    <w:bookmarkStart w:id="482" w:name="system-documentation-sa-5"/>
    <w:p>
      <w:pPr>
        <w:pStyle w:val="Heading4"/>
      </w:pPr>
      <w:r>
        <w:t xml:space="preserve">System documentation (SA-5)</w:t>
      </w:r>
    </w:p>
    <w:p>
      <w:pPr>
        <w:pStyle w:val="Guidance"/>
      </w:pPr>
      <w:r>
        <w:t xml:space="preserve">Administrator and user documentation is how the people who run and use a system learn to operate its security and privacy functions correctly. NIST’s SA-5 discussion names system owners, system security officers and system administrators as the people who need it, and says the organization may need to recreate documentation it cannot obtain when that documentation is essential to operating the controls. Protect documentation that describes vulnerabilities more strictly than the rest.</w:t>
      </w:r>
    </w:p>
    <w:p>
      <w:pPr>
        <w:pStyle w:val="Compact"/>
        <w:numPr>
          <w:ilvl w:val="0"/>
          <w:numId w:val="1358"/>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358"/>
        </w:numPr>
      </w:pPr>
      <w:r>
        <w:t xml:space="preserve">The administrator documentation shall describe the effective use and maintenance of the security and privacy functions and mechanisms. (SA-5a.2)</w:t>
      </w:r>
    </w:p>
    <w:p>
      <w:pPr>
        <w:pStyle w:val="Compact"/>
        <w:numPr>
          <w:ilvl w:val="0"/>
          <w:numId w:val="1358"/>
        </w:numPr>
      </w:pPr>
      <w:r>
        <w:t xml:space="preserve">The administrator documentation shall describe known vulnerabilities regarding the configuration and use of administrative or privileged functions. (SA-5a.3)</w:t>
      </w:r>
    </w:p>
    <w:p>
      <w:pPr>
        <w:pStyle w:val="Compact"/>
        <w:numPr>
          <w:ilvl w:val="0"/>
          <w:numId w:val="1358"/>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358"/>
        </w:numPr>
      </w:pPr>
      <w:r>
        <w:t xml:space="preserve">The user documentation shall describe methods of user interaction that let individuals use the system, component or service more securely and protect individual privacy. (SA-5b.2)</w:t>
      </w:r>
    </w:p>
    <w:p>
      <w:pPr>
        <w:pStyle w:val="Compact"/>
        <w:numPr>
          <w:ilvl w:val="0"/>
          <w:numId w:val="1358"/>
        </w:numPr>
      </w:pPr>
      <w:r>
        <w:t xml:space="preserve">The user documentation shall describe users’ responsibilities for maintaining the security of the system, component or service and the privacy of individuals. (SA-5b.3)</w:t>
      </w:r>
    </w:p>
    <w:p>
      <w:pPr>
        <w:pStyle w:val="Compact"/>
        <w:numPr>
          <w:ilvl w:val="0"/>
          <w:numId w:val="1358"/>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358"/>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358"/>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481" w:name="federal-systems-45"/>
    <w:p>
      <w:pPr>
        <w:pStyle w:val="Heading5"/>
      </w:pPr>
      <w:r>
        <w:t xml:space="preserve">Federal systems</w:t>
      </w:r>
    </w:p>
    <w:p>
      <w:pPr>
        <w:pStyle w:val="FirstParagraph"/>
      </w:pPr>
      <w:hyperlink r:id="rId77">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359"/>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481"/>
    <w:bookmarkEnd w:id="482"/>
    <w:bookmarkStart w:id="484" w:name="X8083db2fed54f34e7396f7a6baa5c8a26be9932"/>
    <w:p>
      <w:pPr>
        <w:pStyle w:val="Heading4"/>
      </w:pPr>
      <w:r>
        <w:t xml:space="preserve">Security and privacy engineering principles (SA-8)</w:t>
      </w:r>
    </w:p>
    <w:p>
      <w:pPr>
        <w:pStyle w:val="Guidance"/>
      </w:pPr>
      <w:r>
        <w:t xml:space="preserve">NIST’s SA-8 discussion lists examples of engineering principles: layered protections, security and privacy requirements built into the life cycle, clear physical and logical boundaries, developers trained to build secure software, and threat modeling. NIST SP 800-160 Vol. 1 Rev. 1, Engineering Trustworthy Secure Systems (</w:t>
      </w:r>
      <w:hyperlink r:id="rId469">
        <w:r>
          <w:rPr>
            <w:rStyle w:val="Hyperlink"/>
          </w:rPr>
          <w:t xml:space="preserve">November 2022</w:t>
        </w:r>
      </w:hyperlink>
      <w:r>
        <w:t xml:space="preserve">, current as of September 2026), describes 30 design principles in Appendix E, and says they are a basis for reasoning about a design, not rules to be complied with. For privacy, NIST IR 8062, An Introduction to Privacy Engineering and Risk Management in Federal Systems (</w:t>
      </w:r>
      <w:hyperlink r:id="rId483">
        <w:r>
          <w:rPr>
            <w:rStyle w:val="Hyperlink"/>
          </w:rPr>
          <w:t xml:space="preserve">January 2017</w:t>
        </w:r>
      </w:hyperlink>
      <w:r>
        <w:t xml:space="preserve">, current as of September 2026), sets out three privacy engineering objectives.</w:t>
      </w:r>
    </w:p>
    <w:p>
      <w:pPr>
        <w:pStyle w:val="Compact"/>
        <w:numPr>
          <w:ilvl w:val="0"/>
          <w:numId w:val="1360"/>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360"/>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360"/>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484"/>
    <w:bookmarkStart w:id="487" w:name="external-system-services-sa-9"/>
    <w:p>
      <w:pPr>
        <w:pStyle w:val="Heading4"/>
      </w:pPr>
      <w:r>
        <w:t xml:space="preserve">External system services (SA-9)</w:t>
      </w:r>
    </w:p>
    <w:p>
      <w:pPr>
        <w:pStyle w:val="Guidance"/>
      </w:pPr>
      <w:r>
        <w:t xml:space="preserve">External system services are cloud platforms, software as a service, hosting, managed security and other services the system relies on but does not run. NIST’s SA-9 discussion keeps the responsibility for their risk with the authorizing official, and has the organization document the basis of its trust in each provider so the relationship can be monitored. A shared responsibility matrix for each service, recorded in the system security plan as inherited, shared or system-owned controls, shows who does what. The</w:t>
      </w:r>
      <w:r>
        <w:t xml:space="preserve"> </w:t>
      </w:r>
      <w:hyperlink r:id="rId127">
        <w:r>
          <w:rPr>
            <w:rStyle w:val="Hyperlink"/>
          </w:rPr>
          <w:t xml:space="preserve">information exchange agreement</w:t>
        </w:r>
      </w:hyperlink>
      <w:r>
        <w:t xml:space="preserve"> </w:t>
      </w:r>
      <w:r>
        <w:t xml:space="preserve">(CA-3) covers the connection; this clause covers the provider. The</w:t>
      </w:r>
      <w:r>
        <w:t xml:space="preserve"> </w:t>
      </w:r>
      <w:hyperlink r:id="rId299">
        <w:r>
          <w:rPr>
            <w:rStyle w:val="Hyperlink"/>
          </w:rPr>
          <w:t xml:space="preserve">external service review</w:t>
        </w:r>
      </w:hyperlink>
      <w:r>
        <w:t xml:space="preserve"> </w:t>
      </w:r>
      <w:r>
        <w:t xml:space="preserve">records the review of each service before use and at each annual review, with a register of every external service.</w:t>
      </w:r>
    </w:p>
    <w:p>
      <w:pPr>
        <w:pStyle w:val="Compact"/>
        <w:numPr>
          <w:ilvl w:val="0"/>
          <w:numId w:val="1361"/>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361"/>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361"/>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361"/>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361"/>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486" w:name="federal-systems-46"/>
    <w:p>
      <w:pPr>
        <w:pStyle w:val="Heading5"/>
      </w:pPr>
      <w:r>
        <w:t xml:space="preserve">Federal systems</w:t>
      </w:r>
    </w:p>
    <w:p>
      <w:pPr>
        <w:pStyle w:val="FirstParagraph"/>
      </w:pPr>
      <w:hyperlink r:id="rId77">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485">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362"/>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362"/>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486"/>
    <w:bookmarkEnd w:id="487"/>
    <w:bookmarkStart w:id="488" w:name="Xd6df5f3fd4538438d02383c00072d5041800588"/>
    <w:p>
      <w:pPr>
        <w:pStyle w:val="Heading4"/>
      </w:pPr>
      <w:r>
        <w:t xml:space="preserve">Identification of functions, ports, protocols and services (SA-9(2))</w:t>
      </w:r>
    </w:p>
    <w:p>
      <w:pPr>
        <w:pStyle w:val="Guidance"/>
      </w:pPr>
      <w:r>
        <w:t xml:space="preserve">A provider’s list of the functions, ports, protocols and services its service needs lets the organization weigh the trade-offs of blocking or restricting them, as NIST’s SA-9(2) discussion notes. Use the list to set the boundary protection rules for the connection (SC-7) and to spot anything the service needs that the organization prohibits (CM-7).</w:t>
      </w:r>
    </w:p>
    <w:p>
      <w:pPr>
        <w:pStyle w:val="Compact"/>
        <w:numPr>
          <w:ilvl w:val="0"/>
          <w:numId w:val="1363"/>
        </w:numPr>
      </w:pPr>
      <w:r>
        <w:t xml:space="preserve">The</w:t>
      </w:r>
      <w:r>
        <w:t xml:space="preserve"> </w:t>
      </w:r>
      <w:r>
        <w:rPr>
          <w:rStyle w:val="Fill-in"/>
        </w:rPr>
        <w:t xml:space="preserve">[System owner]</w:t>
      </w:r>
      <w:r>
        <w:t xml:space="preserve"> </w:t>
      </w:r>
      <w:r>
        <w:t xml:space="preserve">shall require providers of</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 </w:t>
      </w:r>
      <w:r>
        <w:t xml:space="preserve">to identify the functions, ports, protocols and other services required for the use of those services. (SA-9(2))</w:t>
      </w:r>
    </w:p>
    <w:p>
      <w:pPr>
        <w:pStyle w:val="Compact"/>
        <w:numPr>
          <w:ilvl w:val="0"/>
          <w:numId w:val="1363"/>
        </w:numPr>
      </w:pPr>
      <w:r>
        <w:t xml:space="preserve">The</w:t>
      </w:r>
      <w:r>
        <w:t xml:space="preserve"> </w:t>
      </w:r>
      <w:r>
        <w:rPr>
          <w:rStyle w:val="Fill-in"/>
        </w:rPr>
        <w:t xml:space="preserve">[System owner]</w:t>
      </w:r>
      <w:r>
        <w:t xml:space="preserve"> </w:t>
      </w:r>
      <w:r>
        <w:t xml:space="preserve">shall record each provider’s list with the service in the system security plan, and update it when the provider changes the service. (SA-9(2))</w:t>
      </w:r>
    </w:p>
    <w:bookmarkEnd w:id="488"/>
    <w:bookmarkStart w:id="490" w:name="developer-configuration-management-sa-10"/>
    <w:p>
      <w:pPr>
        <w:pStyle w:val="Heading4"/>
      </w:pPr>
      <w:r>
        <w:t xml:space="preserve">Developer configuration management (SA-10)</w:t>
      </w:r>
    </w:p>
    <w:p>
      <w:pPr>
        <w:pStyle w:val="Guidance"/>
      </w:pPr>
      <w:r>
        <w:t xml:space="preserve">SA-10 applies configuration management to the developer, whether an outside supplier or an in-house team. NIST’s SA-10 discussion treats the quality of the developer’s configuration management as direct evidence that the controls work, and lists the configuration items to protect: design specifications, source code and hardware schematics, the running object code, comparison tools, and test fixtures and documentation. NIST’s Secure Software Development Framework, SP 800-218 (</w:t>
      </w:r>
      <w:hyperlink r:id="rId489">
        <w:r>
          <w:rPr>
            <w:rStyle w:val="Hyperlink"/>
          </w:rPr>
          <w:t xml:space="preserve">February 2022</w:t>
        </w:r>
      </w:hyperlink>
      <w:r>
        <w:t xml:space="preserve">, version 1.1; version 1.2 is a December 2025 draft; as of September 2026), cites SA-10 for practice PS.1, protecting all forms of code from unauthorized access and tampering.</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(SA-10a)</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(SA-10b)</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to implement only organization-approved changes to the system, component or service. (SA-10c)</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to document approved changes and their potential security and privacy impacts. (SA-10d)</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to track security flaws and flaw resolution within the system, component or service, and report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(SA-10e)</w:t>
      </w:r>
    </w:p>
    <w:p>
      <w:pPr>
        <w:pStyle w:val="Compact"/>
        <w:numPr>
          <w:ilvl w:val="0"/>
          <w:numId w:val="1364"/>
        </w:numPr>
      </w:pPr>
      <w:r>
        <w:t xml:space="preserve">The</w:t>
      </w:r>
      <w:r>
        <w:t xml:space="preserve"> </w:t>
      </w:r>
      <w:r>
        <w:rPr>
          <w:rStyle w:val="Fill-in"/>
        </w:rPr>
        <w:t xml:space="preserve">[System owner]</w:t>
      </w:r>
      <w:r>
        <w:t xml:space="preserve"> </w:t>
      </w:r>
      <w:r>
        <w:t xml:space="preserve">shall ensure developer changes to an operational system go through the system’s configuration change control (CM-3). (SA-10c)</w:t>
      </w:r>
    </w:p>
    <w:bookmarkEnd w:id="490"/>
    <w:bookmarkStart w:id="491" w:name="developer-testing-and-evaluation-sa-11"/>
    <w:p>
      <w:pPr>
        <w:pStyle w:val="Heading4"/>
      </w:pPr>
      <w:r>
        <w:t xml:space="preserve">Developer testing and evaluation (SA-11)</w:t>
      </w:r>
    </w:p>
    <w:p>
      <w:pPr>
        <w:pStyle w:val="Guidance"/>
      </w:pPr>
      <w:r>
        <w:t xml:space="preserve">Developer testing finds flaws before the system reaches the assessor or the adversary. NIST’s SA-11 discussion names the approaches: manual code review, security architecture review, penetration testing, and static, dynamic and binary analysis, with instrumentation and fuzzing. It defines depth as the rigor and detail of testing and coverage as the number and type of artifacts tested, and has contracts set acceptance criteria for the plans, the flaw remediation process and the evidence. NIST’s Secure Software Development Framework, SP 800-218 (</w:t>
      </w:r>
      <w:hyperlink r:id="rId489">
        <w:r>
          <w:rPr>
            <w:rStyle w:val="Hyperlink"/>
          </w:rPr>
          <w:t xml:space="preserve">February 2022</w:t>
        </w:r>
      </w:hyperlink>
      <w:r>
        <w:t xml:space="preserve">, version 1.1; as of September 2026), cites SA-11 for practices PW.7, reviewing and analyzing human-readable code, and PW.8, testing executable code.</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365"/>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491"/>
    <w:bookmarkStart w:id="493" w:name="X6c372991e8355ceafe78d2a196061eca40c183e"/>
    <w:p>
      <w:pPr>
        <w:pStyle w:val="Heading4"/>
      </w:pPr>
      <w:r>
        <w:t xml:space="preserve">Development process, standards and tools (SA-15)</w:t>
      </w:r>
    </w:p>
    <w:p>
      <w:pPr>
        <w:pStyle w:val="Guidance"/>
      </w:pPr>
      <w:r>
        <w:t xml:space="preserve">SA-15 asks for a development process that is written down, addresses security and privacy, and keeps its own tools under control, since a compromised build tool compromises everything it builds. NIST’s SA-15 discussion says reviews of the process can use maturity models, and that controlling changes to tools supports supply chain risk management. NIST’s Secure Software Development Framework, SP 800-218 (</w:t>
      </w:r>
      <w:hyperlink r:id="rId489">
        <w:r>
          <w:rPr>
            <w:rStyle w:val="Hyperlink"/>
          </w:rPr>
          <w:t xml:space="preserve">February 2022</w:t>
        </w:r>
      </w:hyperlink>
      <w:r>
        <w:t xml:space="preserve">, version 1.1; version 1.2 is a December 2025 draft; as of September 2026), cites SA-15 for its Prepare the Organization practices, including PO.1, defining security requirements for software development, and PO.3, implementing supporting toolchains. The organization’s own secure development policy and standard, based on the SSDF, are Phase 4 templates.</w:t>
      </w:r>
    </w:p>
    <w:p>
      <w:pPr>
        <w:pStyle w:val="Compact"/>
        <w:numPr>
          <w:ilvl w:val="0"/>
          <w:numId w:val="1366"/>
        </w:numPr>
      </w:pPr>
      <w:r>
        <w:t xml:space="preserve">The</w:t>
      </w:r>
      <w:r>
        <w:t xml:space="preserve"> </w:t>
      </w:r>
      <w:r>
        <w:rPr>
          <w:rStyle w:val="Fill-in"/>
        </w:rPr>
        <w:t xml:space="preserve">[System owner]</w:t>
      </w:r>
      <w:r>
        <w:t xml:space="preserve"> </w:t>
      </w:r>
      <w:r>
        <w:t xml:space="preserve">shall require the developer of the system, system component or system service to follow a documented development process that explicitly addresses security and privacy requirements. (SA-15a.1)</w:t>
      </w:r>
    </w:p>
    <w:p>
      <w:pPr>
        <w:pStyle w:val="Compact"/>
        <w:numPr>
          <w:ilvl w:val="0"/>
          <w:numId w:val="1366"/>
        </w:numPr>
      </w:pPr>
      <w:r>
        <w:t xml:space="preserve">The documented process shall identify the standards and tools used in the development process. (SA-15a.2)</w:t>
      </w:r>
    </w:p>
    <w:p>
      <w:pPr>
        <w:pStyle w:val="Compact"/>
        <w:numPr>
          <w:ilvl w:val="0"/>
          <w:numId w:val="1366"/>
        </w:numPr>
      </w:pPr>
      <w:r>
        <w:t xml:space="preserve">The documented process shall document the specific tool options and tool configurations used in the development process. (SA-15a.3)</w:t>
      </w:r>
    </w:p>
    <w:p>
      <w:pPr>
        <w:pStyle w:val="Compact"/>
        <w:numPr>
          <w:ilvl w:val="0"/>
          <w:numId w:val="1366"/>
        </w:numPr>
      </w:pPr>
      <w:r>
        <w:t xml:space="preserve">The documented process shall document, manage and ensure the integrity of changes to the process and the tools used in development. (SA-15a.4)</w:t>
      </w:r>
    </w:p>
    <w:p>
      <w:pPr>
        <w:pStyle w:val="Compact"/>
        <w:numPr>
          <w:ilvl w:val="0"/>
          <w:numId w:val="1366"/>
        </w:numPr>
      </w:pPr>
      <w:r>
        <w:t xml:space="preserve">The</w:t>
      </w:r>
      <w:r>
        <w:t xml:space="preserve"> </w:t>
      </w:r>
      <w:r>
        <w:rPr>
          <w:rStyle w:val="Fill-in"/>
        </w:rPr>
        <w:t xml:space="preserve">[System owner]</w:t>
      </w:r>
      <w:r>
        <w:t xml:space="preserve"> </w:t>
      </w:r>
      <w:r>
        <w:t xml:space="preserve">shall review the development process, standards, tools, tool options and tool configurations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w:t>
      </w:r>
      <w:r>
        <w:t xml:space="preserve">to determine whether they can satisfy</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366"/>
        </w:numPr>
      </w:pPr>
      <w:r>
        <w:t xml:space="preserve">The</w:t>
      </w:r>
      <w:r>
        <w:t xml:space="preserve"> </w:t>
      </w:r>
      <w:r>
        <w:rPr>
          <w:rStyle w:val="Fill-in"/>
        </w:rPr>
        <w:t xml:space="preserve">[System owner]</w:t>
      </w:r>
      <w:r>
        <w:t xml:space="preserve"> </w:t>
      </w:r>
      <w:r>
        <w:t xml:space="preserve">shall record each review’s findings, and track any shortfall to correction in the plan of action and milestones. (SA-15b)</w:t>
      </w:r>
    </w:p>
    <w:bookmarkStart w:id="492" w:name="federal-systems-47"/>
    <w:p>
      <w:pPr>
        <w:pStyle w:val="Heading5"/>
      </w:pPr>
      <w:r>
        <w:t xml:space="preserve">Federal systems</w:t>
      </w:r>
    </w:p>
    <w:p>
      <w:pPr>
        <w:pStyle w:val="FirstParagraph"/>
      </w:pPr>
      <w:hyperlink r:id="rId471">
        <w:r>
          <w:rPr>
            <w:rStyle w:val="Hyperlink"/>
          </w:rPr>
          <w:t xml:space="preserve">OMB M-26-05</w:t>
        </w:r>
      </w:hyperlink>
      <w:r>
        <w:t xml:space="preserve">, Adopting a Risk-based Approach to Software and Hardware Security (January 23, 2026), rescinds OMB M-22-18 and M-23-16. It states that each agency should validate provider security using secure development principles and a comprehensive risk assessment, requires agencies to develop software and hardware assurance policies and processes that match their risk determinations and mission needs, and names NIST SP 800-218 as a reference. As of September 2026.</w:t>
      </w:r>
    </w:p>
    <w:p>
      <w:pPr>
        <w:pStyle w:val="Compact"/>
        <w:numPr>
          <w:ilvl w:val="0"/>
          <w:numId w:val="1367"/>
        </w:numPr>
      </w:pPr>
      <w:r>
        <w:t xml:space="preserve">The</w:t>
      </w:r>
      <w:r>
        <w:t xml:space="preserve"> </w:t>
      </w:r>
      <w:r>
        <w:rPr>
          <w:rStyle w:val="Fill-in"/>
        </w:rPr>
        <w:t xml:space="preserve">[Chief Information Security Officer]</w:t>
      </w:r>
      <w:r>
        <w:t xml:space="preserve"> </w:t>
      </w:r>
      <w:r>
        <w:t xml:space="preserve">shall base the security requirements used under SA-15b on the agency’s software and hardware assurance policy under OMB M-26-05, and on a risk assessment of the system. (SA-15b)</w:t>
      </w:r>
    </w:p>
    <w:bookmarkEnd w:id="492"/>
    <w:bookmarkEnd w:id="493"/>
    <w:bookmarkStart w:id="494" w:name="criticality-analysis-sa-153"/>
    <w:p>
      <w:pPr>
        <w:pStyle w:val="Heading4"/>
      </w:pPr>
      <w:r>
        <w:t xml:space="preserve">Criticality analysis (SA-15(3))</w:t>
      </w:r>
    </w:p>
    <w:p>
      <w:pPr>
        <w:pStyle w:val="Guidance"/>
      </w:pPr>
      <w:r>
        <w:t xml:space="preserve">The developer’s criticality analysis feeds the organization’s own (RA-9), which often cannot see inside commercial products. NIST’s SA-15(3) discussion says developer input is especially important for supply chain criticality analyses and for systems designated as high value assets. The decision points here match those in the RA-9 clause, so both analyses are updated together.</w:t>
      </w:r>
    </w:p>
    <w:p>
      <w:pPr>
        <w:pStyle w:val="Compact"/>
        <w:numPr>
          <w:ilvl w:val="0"/>
          <w:numId w:val="1368"/>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(SA-15(3)(a))</w:t>
      </w:r>
    </w:p>
    <w:p>
      <w:pPr>
        <w:pStyle w:val="Compact"/>
        <w:numPr>
          <w:ilvl w:val="0"/>
          <w:numId w:val="1368"/>
        </w:numPr>
      </w:pPr>
      <w:r>
        <w:t xml:space="preserve">The</w:t>
      </w:r>
      <w:r>
        <w:t xml:space="preserve"> </w:t>
      </w:r>
      <w:r>
        <w:rPr>
          <w:rStyle w:val="Fill-in"/>
        </w:rPr>
        <w:t xml:space="preserve">[System owner]</w:t>
      </w:r>
      <w:r>
        <w:t xml:space="preserve"> </w:t>
      </w:r>
      <w:r>
        <w:t xml:space="preserve">shall require the developer’s criticality analysis to cover the following breadth and depth:</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(SA-15(3)(b))</w:t>
      </w:r>
    </w:p>
    <w:p>
      <w:pPr>
        <w:pStyle w:val="Compact"/>
        <w:numPr>
          <w:ilvl w:val="0"/>
          <w:numId w:val="1368"/>
        </w:numPr>
      </w:pPr>
      <w:r>
        <w:t xml:space="preserve">The</w:t>
      </w:r>
      <w:r>
        <w:t xml:space="preserve"> </w:t>
      </w:r>
      <w:r>
        <w:rPr>
          <w:rStyle w:val="Fill-in"/>
        </w:rPr>
        <w:t xml:space="preserve">[System owner]</w:t>
      </w:r>
      <w:r>
        <w:t xml:space="preserve"> </w:t>
      </w:r>
      <w:r>
        <w:t xml:space="preserve">shall use the developer’s results in the organization’s criticality analysis (RA-9). (SA-15(3))</w:t>
      </w:r>
    </w:p>
    <w:bookmarkEnd w:id="494"/>
    <w:bookmarkStart w:id="495" w:name="developer-provided-training-sa-16"/>
    <w:p>
      <w:pPr>
        <w:pStyle w:val="Heading4"/>
      </w:pPr>
      <w:r>
        <w:t xml:space="preserve">Developer-provided training (SA-16)</w:t>
      </w:r>
    </w:p>
    <w:p>
      <w:pPr>
        <w:pStyle w:val="Guidance"/>
      </w:pPr>
      <w:r>
        <w:t xml:space="preserve">Controls work only if the people who operate them know how. NIST’s SA-16 discussion applies this to both external and in-house developers, lists web-based, classroom and hands-on training, and notes that the organization can instead ask for training materials to run its own. Record completions in the training records (AT-4) with the rest of role-based training.</w:t>
      </w:r>
    </w:p>
    <w:p>
      <w:pPr>
        <w:pStyle w:val="Compact"/>
        <w:numPr>
          <w:ilvl w:val="0"/>
          <w:numId w:val="1369"/>
        </w:numPr>
      </w:pPr>
      <w:r>
        <w:t xml:space="preserve">The</w:t>
      </w:r>
      <w:r>
        <w:t xml:space="preserve"> </w:t>
      </w:r>
      <w:r>
        <w:rPr>
          <w:rStyle w:val="Fill-in"/>
        </w:rPr>
        <w:t xml:space="preserve">[System owner]</w:t>
      </w:r>
      <w:r>
        <w:t xml:space="preserve"> </w:t>
      </w:r>
      <w:r>
        <w:t xml:space="preserve">shall require the developer of the system, system component or system service to provide</w:t>
      </w:r>
      <w:r>
        <w:t xml:space="preserve"> </w:t>
      </w:r>
      <w:r>
        <w:rPr>
          <w:rStyle w:val="Fill-in"/>
        </w:rPr>
        <w:t xml:space="preserve">[Fill in: training on the correct use and operation of the implemented security and privacy functions, controls, and/or mechanisms provided by the developer of the system, system component, or system service. Typical: role-based training for the system’s administrators and security staff on configuring, operating and monitoring the security and privacy functions the developer provides, before the system goes into operation and after each major release, with materials the organization may reuse for in-house training]</w:t>
      </w:r>
      <w:r>
        <w:t xml:space="preserve"> </w:t>
      </w:r>
      <w:r>
        <w:t xml:space="preserve">on the correct use and operation of the implemented security and privacy functions, controls and mechanisms. (SA-16)</w:t>
      </w:r>
    </w:p>
    <w:p>
      <w:pPr>
        <w:pStyle w:val="Compact"/>
        <w:numPr>
          <w:ilvl w:val="0"/>
          <w:numId w:val="1369"/>
        </w:numPr>
      </w:pPr>
      <w:r>
        <w:t xml:space="preserve">The</w:t>
      </w:r>
      <w:r>
        <w:t xml:space="preserve"> </w:t>
      </w:r>
      <w:r>
        <w:rPr>
          <w:rStyle w:val="Fill-in"/>
        </w:rPr>
        <w:t xml:space="preserve">[System owner]</w:t>
      </w:r>
      <w:r>
        <w:t xml:space="preserve"> </w:t>
      </w:r>
      <w:r>
        <w:t xml:space="preserve">shall ensure the personnel who operate those functions complete the training before they are given the related privileges. (SA-16)</w:t>
      </w:r>
    </w:p>
    <w:bookmarkEnd w:id="495"/>
    <w:bookmarkStart w:id="496" w:name="X677648c3cb9a3c3fc81499866107721affe1dc9"/>
    <w:p>
      <w:pPr>
        <w:pStyle w:val="Heading4"/>
      </w:pPr>
      <w:r>
        <w:t xml:space="preserve">Developer security and privacy architecture and design (SA-17)</w:t>
      </w:r>
    </w:p>
    <w:p>
      <w:pPr>
        <w:pStyle w:val="Guidance"/>
      </w:pPr>
      <w:r>
        <w:t xml:space="preserve">SA-17 is the developer’s side of PL-8: NIST’s SA-17 discussion directs it at external developers, while PL-8 has the organization build its own security and privacy architecture into the enterprise architecture. The distinction matters most when development is outsourced and the organization must show the delivered design is consistent with its architecture. NIST’s discussion points to NIST SP 800-160 Vol. 1 Rev. 1 and ISO/IEC 15408 for security architecture and design.</w:t>
      </w:r>
    </w:p>
    <w:p>
      <w:pPr>
        <w:pStyle w:val="Compact"/>
        <w:numPr>
          <w:ilvl w:val="0"/>
          <w:numId w:val="1370"/>
        </w:numPr>
      </w:pPr>
      <w:r>
        <w:t xml:space="preserve">The</w:t>
      </w:r>
      <w:r>
        <w:t xml:space="preserve"> </w:t>
      </w:r>
      <w:r>
        <w:rPr>
          <w:rStyle w:val="Fill-in"/>
        </w:rPr>
        <w:t xml:space="preserve">[System owner]</w:t>
      </w:r>
      <w:r>
        <w:t xml:space="preserve"> </w:t>
      </w:r>
      <w:r>
        <w:t xml:space="preserve">shall require the developer of the system, system component or system service to produce a design specification and security and privacy architecture that is consistent with the organization’s security and privacy architecture, as an integral part of the organization’s enterprise architecture (PL-8). (SA-17a)</w:t>
      </w:r>
    </w:p>
    <w:p>
      <w:pPr>
        <w:pStyle w:val="Compact"/>
        <w:numPr>
          <w:ilvl w:val="0"/>
          <w:numId w:val="1370"/>
        </w:numPr>
      </w:pPr>
      <w:r>
        <w:t xml:space="preserve">The design specification and architecture shall accurately and completely describe the required security and privacy functionality, and the allocation of controls among physical and logical components. (SA-17b)</w:t>
      </w:r>
    </w:p>
    <w:p>
      <w:pPr>
        <w:pStyle w:val="Compact"/>
        <w:numPr>
          <w:ilvl w:val="0"/>
          <w:numId w:val="1370"/>
        </w:numPr>
      </w:pPr>
      <w:r>
        <w:t xml:space="preserve">The design specification and architecture shall express how the individual security and privacy functions, mechanisms and services work together to provide the required security and privacy capabilities and a unified approach to protection. (SA-17c)</w:t>
      </w:r>
    </w:p>
    <w:p>
      <w:pPr>
        <w:pStyle w:val="Compact"/>
        <w:numPr>
          <w:ilvl w:val="0"/>
          <w:numId w:val="1370"/>
        </w:numPr>
      </w:pPr>
      <w:r>
        <w:t xml:space="preserve">The</w:t>
      </w:r>
      <w:r>
        <w:t xml:space="preserve"> </w:t>
      </w:r>
      <w:r>
        <w:rPr>
          <w:rStyle w:val="Fill-in"/>
        </w:rPr>
        <w:t xml:space="preserve">[System owner]</w:t>
      </w:r>
      <w:r>
        <w:t xml:space="preserve"> </w:t>
      </w:r>
      <w:r>
        <w:t xml:space="preserve">shall have the design specification and architecture reviewed by the security architect and, for a system that processes personally identifiable information, the</w:t>
      </w:r>
      <w:r>
        <w:t xml:space="preserve"> </w:t>
      </w:r>
      <w:r>
        <w:rPr>
          <w:rStyle w:val="Fill-in"/>
        </w:rPr>
        <w:t xml:space="preserve">[Senior privacy official]</w:t>
      </w:r>
      <w:r>
        <w:t xml:space="preserve">, before the design is accepted. (SA-17)</w:t>
      </w:r>
    </w:p>
    <w:bookmarkEnd w:id="496"/>
    <w:bookmarkStart w:id="497" w:name="developer-screening-sa-21"/>
    <w:p>
      <w:pPr>
        <w:pStyle w:val="Heading4"/>
      </w:pPr>
      <w:r>
        <w:t xml:space="preserve">Developer screening (SA-21)</w:t>
      </w:r>
    </w:p>
    <w:p>
      <w:pPr>
        <w:pStyle w:val="Guidance"/>
      </w:pPr>
      <w:r>
        <w:t xml:space="preserve">Developer screening is directed at external developers; in-house developers are screened under PS-3, as NIST’s SA-21 discussion notes. The discussion lists clearances, background checks, citizenship and nationality as criteria, and says trustworthiness can also cover the company’s ownership and relationships. It adds that the developer provides a list of all individuals authorized to do development work, so the organization can check each has been screened. Outside the federal government,</w:t>
      </w:r>
      <w:r>
        <w:t xml:space="preserve"> </w:t>
      </w:r>
      <w:r>
        <w:t xml:space="preserve">“official government duties”</w:t>
      </w:r>
      <w:r>
        <w:t xml:space="preserve"> </w:t>
      </w:r>
      <w:r>
        <w:t xml:space="preserve">reads as the duties the organization assigns.</w:t>
      </w:r>
    </w:p>
    <w:p>
      <w:pPr>
        <w:pStyle w:val="Compact"/>
        <w:numPr>
          <w:ilvl w:val="0"/>
          <w:numId w:val="1371"/>
        </w:numPr>
      </w:pPr>
      <w:r>
        <w:t xml:space="preserve">The</w:t>
      </w:r>
      <w:r>
        <w:t xml:space="preserve"> </w:t>
      </w:r>
      <w:r>
        <w:rPr>
          <w:rStyle w:val="Fill-in"/>
        </w:rPr>
        <w:t xml:space="preserve">[System owner]</w:t>
      </w:r>
      <w:r>
        <w:t xml:space="preserve"> </w:t>
      </w:r>
      <w:r>
        <w:t xml:space="preserve">shall require that the developer of</w:t>
      </w:r>
      <w:r>
        <w:t xml:space="preserve"> </w:t>
      </w:r>
      <w:r>
        <w:rPr>
          <w:rStyle w:val="Fill-in"/>
        </w:rPr>
        <w:t xml:space="preserve">[Fill in: the system, systems component, or system service that the developer has access to. Typical: the system and any of its components where the developer has privileged access, access to source code or build systems, or access to the information the system processes]</w:t>
      </w:r>
      <w:r>
        <w:t xml:space="preserve"> </w:t>
      </w:r>
      <w:r>
        <w:t xml:space="preserve">has appropriate access authorizations, as determined by assigned</w:t>
      </w:r>
      <w:r>
        <w:t xml:space="preserve"> </w:t>
      </w:r>
      <w:r>
        <w:rPr>
          <w:rStyle w:val="Fill-in"/>
        </w:rPr>
        <w:t xml:space="preserve">[Fill in: official government duties assigned to the developer. Typical: the duties assigned to each developer’s personnel, designated at the same position risk or sensitivity level as organizational staff with equivalent access (PS-2)]</w:t>
      </w:r>
      <w:r>
        <w:t xml:space="preserve">. (SA-21a)</w:t>
      </w:r>
    </w:p>
    <w:p>
      <w:pPr>
        <w:pStyle w:val="Compact"/>
        <w:numPr>
          <w:ilvl w:val="0"/>
          <w:numId w:val="1371"/>
        </w:numPr>
      </w:pPr>
      <w:r>
        <w:t xml:space="preserve">The</w:t>
      </w:r>
      <w:r>
        <w:t xml:space="preserve"> </w:t>
      </w:r>
      <w:r>
        <w:rPr>
          <w:rStyle w:val="Fill-in"/>
        </w:rPr>
        <w:t xml:space="preserve">[System owner]</w:t>
      </w:r>
      <w:r>
        <w:t xml:space="preserve"> </w:t>
      </w:r>
      <w:r>
        <w:t xml:space="preserve">shall require that the developer satisfies the following additional personnel screening criteria:</w:t>
      </w:r>
      <w:r>
        <w:t xml:space="preserve"> </w:t>
      </w:r>
      <w:r>
        <w:rPr>
          <w:rStyle w:val="Fill-in"/>
        </w:rPr>
        <w:t xml:space="preserve">[Fill in: additional personnel screening criteria for the developer. Typical: screening to the same criteria as organizational staff in comparable positions (PS-3), and a current list of every individual authorized to perform development work, provided before work starts and when it changes]</w:t>
      </w:r>
      <w:r>
        <w:t xml:space="preserve">. (SA-21b)</w:t>
      </w:r>
    </w:p>
    <w:p>
      <w:pPr>
        <w:pStyle w:val="Compact"/>
        <w:numPr>
          <w:ilvl w:val="0"/>
          <w:numId w:val="1371"/>
        </w:numPr>
      </w:pPr>
      <w:r>
        <w:t xml:space="preserve">The</w:t>
      </w:r>
      <w:r>
        <w:t xml:space="preserve"> </w:t>
      </w:r>
      <w:r>
        <w:rPr>
          <w:rStyle w:val="Fill-in"/>
        </w:rPr>
        <w:t xml:space="preserve">[System owner]</w:t>
      </w:r>
      <w:r>
        <w:t xml:space="preserve"> </w:t>
      </w:r>
      <w:r>
        <w:t xml:space="preserve">shall put these requirements in the development contract, and check the developer’s list of authorized individuals against the screening records before granting access. (SA-21)</w:t>
      </w:r>
    </w:p>
    <w:bookmarkEnd w:id="497"/>
    <w:bookmarkStart w:id="501" w:name="unsupported-system-components-sa-22"/>
    <w:p>
      <w:pPr>
        <w:pStyle w:val="Heading4"/>
      </w:pPr>
      <w:r>
        <w:t xml:space="preserve">Unsupported system components (SA-22)</w:t>
      </w:r>
    </w:p>
    <w:p>
      <w:pPr>
        <w:pStyle w:val="Guidance"/>
      </w:pPr>
      <w:r>
        <w:t xml:space="preserve">An unsupported component gets no security updates, so each new vulnerability in it stays open. NIST’s SA-22 discussion allows exceptions only where no newer technology exists for a critical capability or the system is too isolated to replace, and suggests isolation, such as no connection to public or uncontrolled networks, to reduce the risk. Track each component’s end-of-support date in the component inventory (CM-8), and treat an unsupported component as a flaw under the</w:t>
      </w:r>
      <w:r>
        <w:t xml:space="preserve"> </w:t>
      </w:r>
      <w:hyperlink r:id="rId498">
        <w:r>
          <w:rPr>
            <w:rStyle w:val="Hyperlink"/>
          </w:rPr>
          <w:t xml:space="preserve">patch and flaw remediation standard</w:t>
        </w:r>
      </w:hyperlink>
      <w:r>
        <w:t xml:space="preserve"> </w:t>
      </w:r>
      <w:r>
        <w:t xml:space="preserve">until it is replaced.</w:t>
      </w:r>
    </w:p>
    <w:p>
      <w:pPr>
        <w:pStyle w:val="Compact"/>
        <w:numPr>
          <w:ilvl w:val="0"/>
          <w:numId w:val="1372"/>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372"/>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372"/>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372"/>
        </w:numPr>
      </w:pPr>
      <w:r>
        <w:t xml:space="preserve">The authorizing official shall approve each continued use of an unsupported component, for a set period, with the compensating measures recorded and the replacement tracked in the plan of action and milestones. (SA-22b)</w:t>
      </w:r>
    </w:p>
    <w:bookmarkStart w:id="500" w:name="federal-systems-48"/>
    <w:p>
      <w:pPr>
        <w:pStyle w:val="Heading5"/>
      </w:pPr>
      <w:r>
        <w:t xml:space="preserve">Federal systems</w:t>
      </w:r>
    </w:p>
    <w:p>
      <w:pPr>
        <w:pStyle w:val="FirstParagraph"/>
      </w:pPr>
      <w:hyperlink r:id="rId77">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499">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373"/>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373"/>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373"/>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500"/>
    <w:bookmarkEnd w:id="501"/>
    <w:bookmarkEnd w:id="502"/>
    <w:bookmarkStart w:id="539" w:name="system-and-communications-protection-sc"/>
    <w:p>
      <w:pPr>
        <w:pStyle w:val="Heading3"/>
      </w:pPr>
      <w:r>
        <w:t xml:space="preserve">System and Communications Protection (SC)</w:t>
      </w:r>
    </w:p>
    <w:bookmarkStart w:id="503" w:name="Xe6b6cf868521971e556ffc96448944869c425f3"/>
    <w:p>
      <w:pPr>
        <w:pStyle w:val="Heading4"/>
      </w:pPr>
      <w:r>
        <w:t xml:space="preserve">Separation of system and user functionality (SC-2)</w:t>
      </w:r>
    </w:p>
    <w:p>
      <w:pPr>
        <w:pStyle w:val="Guidance"/>
      </w:pPr>
      <w:r>
        <w:t xml:space="preserve">Keep administration interfaces apart from the interfaces users see: separate administrative consoles, ports or network segments, separate administrator accounts, and management planes not reachable from user networks or the internet.</w:t>
      </w:r>
    </w:p>
    <w:p>
      <w:pPr>
        <w:pStyle w:val="Compact"/>
        <w:numPr>
          <w:ilvl w:val="0"/>
          <w:numId w:val="1374"/>
        </w:numPr>
      </w:pPr>
      <w:r>
        <w:t xml:space="preserve">The</w:t>
      </w:r>
      <w:r>
        <w:t xml:space="preserve"> </w:t>
      </w:r>
      <w:r>
        <w:rPr>
          <w:rStyle w:val="Fill-in"/>
        </w:rPr>
        <w:t xml:space="preserve">[System owner]</w:t>
      </w:r>
      <w:r>
        <w:t xml:space="preserve"> </w:t>
      </w:r>
      <w:r>
        <w:t xml:space="preserve">shall ensure the system separates user functionality, including user interface services, from system management functionality. (SC-2)</w:t>
      </w:r>
    </w:p>
    <w:bookmarkEnd w:id="503"/>
    <w:bookmarkStart w:id="504" w:name="security-function-isolation-sc-3"/>
    <w:p>
      <w:pPr>
        <w:pStyle w:val="Heading4"/>
      </w:pPr>
      <w:r>
        <w:t xml:space="preserve">Security function isolation (SC-3)</w:t>
      </w:r>
    </w:p>
    <w:p>
      <w:pPr>
        <w:pStyle w:val="Guidance"/>
      </w:pPr>
      <w:r>
        <w:t xml:space="preserve">Security functions include access enforcement, authentication, audit and cryptographic key management. Isolation is usually provided by the operating system, hypervisor or cloud platform and by running security services on dedicated components. SC-3 is in the High baseline.</w:t>
      </w:r>
    </w:p>
    <w:p>
      <w:pPr>
        <w:pStyle w:val="Compact"/>
        <w:numPr>
          <w:ilvl w:val="0"/>
          <w:numId w:val="1375"/>
        </w:numPr>
      </w:pPr>
      <w:r>
        <w:t xml:space="preserve">The</w:t>
      </w:r>
      <w:r>
        <w:t xml:space="preserve"> </w:t>
      </w:r>
      <w:r>
        <w:rPr>
          <w:rStyle w:val="Fill-in"/>
        </w:rPr>
        <w:t xml:space="preserve">[System owner]</w:t>
      </w:r>
      <w:r>
        <w:t xml:space="preserve"> </w:t>
      </w:r>
      <w:r>
        <w:t xml:space="preserve">shall ensure the system isolates security functions from nonsecurity functions. (SC-3)</w:t>
      </w:r>
    </w:p>
    <w:bookmarkEnd w:id="504"/>
    <w:bookmarkStart w:id="505" w:name="Xf7b035ce55723c38c212f1cfddb66a3b4904ab8"/>
    <w:p>
      <w:pPr>
        <w:pStyle w:val="Heading4"/>
      </w:pPr>
      <w:r>
        <w:t xml:space="preserve">Information in shared system resources (SC-4)</w:t>
      </w:r>
    </w:p>
    <w:p>
      <w:pPr>
        <w:pStyle w:val="Guidance"/>
      </w:pPr>
      <w:r>
        <w:t xml:space="preserve">This control is about residual information: memory, storage and caches reused by another user or process must not reveal what the last one left. Operating systems and cloud platforms usually provide it; the system owner confirms it and covers any shared resources the application manages itself.</w:t>
      </w:r>
    </w:p>
    <w:p>
      <w:pPr>
        <w:pStyle w:val="Compact"/>
        <w:numPr>
          <w:ilvl w:val="0"/>
          <w:numId w:val="1376"/>
        </w:numPr>
      </w:pPr>
      <w:r>
        <w:t xml:space="preserve">The</w:t>
      </w:r>
      <w:r>
        <w:t xml:space="preserve"> </w:t>
      </w:r>
      <w:r>
        <w:rPr>
          <w:rStyle w:val="Fill-in"/>
        </w:rPr>
        <w:t xml:space="preserve">[System owner]</w:t>
      </w:r>
      <w:r>
        <w:t xml:space="preserve"> </w:t>
      </w:r>
      <w:r>
        <w:t xml:space="preserve">shall ensure the system prevents unauthorized and unintended information transfer through shared system resources. (SC-4)</w:t>
      </w:r>
    </w:p>
    <w:bookmarkEnd w:id="505"/>
    <w:bookmarkStart w:id="506" w:name="denial-of-service-protection-sc-5"/>
    <w:p>
      <w:pPr>
        <w:pStyle w:val="Heading4"/>
      </w:pPr>
      <w:r>
        <w:t xml:space="preserve">Denial-of-service protection (SC-5)</w:t>
      </w:r>
    </w:p>
    <w:p>
      <w:pPr>
        <w:pStyle w:val="Guidance"/>
      </w:pPr>
      <w:r>
        <w:t xml:space="preserve">Most organizations meet this through their internet or cloud provider’s denial-of-service protection, plus rate limiting and autoscaling for their own services. Record which protections are inherited and which the system provides.</w:t>
      </w:r>
    </w:p>
    <w:p>
      <w:pPr>
        <w:pStyle w:val="Compact"/>
        <w:numPr>
          <w:ilvl w:val="0"/>
          <w:numId w:val="1377"/>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377"/>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506"/>
    <w:bookmarkStart w:id="509" w:name="boundary-protection-sc-7"/>
    <w:p>
      <w:pPr>
        <w:pStyle w:val="Heading4"/>
      </w:pPr>
      <w:r>
        <w:t xml:space="preserve">Boundary protection (SC-7)</w:t>
      </w:r>
    </w:p>
    <w:p>
      <w:pPr>
        <w:pStyle w:val="Guidance"/>
      </w:pPr>
      <w:r>
        <w:t xml:space="preserve">Every external connection goes through a managed interface, such as a firewall, cloud security group, gateway or proxy, and public-facing components sit in their own subnetwork. The boundary diagram in the system security plan is where assessors start. The</w:t>
      </w:r>
      <w:r>
        <w:t xml:space="preserve"> </w:t>
      </w:r>
      <w:hyperlink r:id="rId34">
        <w:r>
          <w:rPr>
            <w:rStyle w:val="Hyperlink"/>
          </w:rPr>
          <w:t xml:space="preserve">Boundary Protection Standard</w:t>
        </w:r>
      </w:hyperlink>
      <w:r>
        <w:t xml:space="preserve"> </w:t>
      </w:r>
      <w:r>
        <w:t xml:space="preserve">sets the managed interfaces, rule sets, allowed flows and review cycle.</w:t>
      </w:r>
    </w:p>
    <w:p>
      <w:pPr>
        <w:pStyle w:val="Compact"/>
        <w:numPr>
          <w:ilvl w:val="0"/>
          <w:numId w:val="1378"/>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378"/>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378"/>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508" w:name="federal-systems-49"/>
    <w:p>
      <w:pPr>
        <w:pStyle w:val="Heading5"/>
      </w:pPr>
      <w:r>
        <w:t xml:space="preserve">Federal systems</w:t>
      </w:r>
    </w:p>
    <w:p>
      <w:pPr>
        <w:pStyle w:val="FirstParagraph"/>
      </w:pPr>
      <w:r>
        <w:t xml:space="preserve">Federal civilian agencies secure their network connections under CISA’s</w:t>
      </w:r>
      <w:r>
        <w:t xml:space="preserve"> </w:t>
      </w:r>
      <w:hyperlink r:id="rId507">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379"/>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508"/>
    <w:bookmarkEnd w:id="509"/>
    <w:bookmarkStart w:id="510" w:name="access-points-sc-73"/>
    <w:p>
      <w:pPr>
        <w:pStyle w:val="Heading4"/>
      </w:pPr>
      <w:r>
        <w:t xml:space="preserve">Access points (SC-7(3))</w:t>
      </w:r>
    </w:p>
    <w:p>
      <w:pPr>
        <w:pStyle w:val="Compact"/>
        <w:numPr>
          <w:ilvl w:val="0"/>
          <w:numId w:val="1380"/>
        </w:numPr>
      </w:pPr>
      <w:r>
        <w:t xml:space="preserve">The</w:t>
      </w:r>
      <w:r>
        <w:t xml:space="preserve"> </w:t>
      </w:r>
      <w:r>
        <w:rPr>
          <w:rStyle w:val="Fill-in"/>
        </w:rPr>
        <w:t xml:space="preserve">[System owner]</w:t>
      </w:r>
      <w:r>
        <w:t xml:space="preserve"> </w:t>
      </w:r>
      <w:r>
        <w:t xml:space="preserve">shall limit the number of external network connections to the system. (SC-7(3))</w:t>
      </w:r>
    </w:p>
    <w:bookmarkEnd w:id="510"/>
    <w:bookmarkStart w:id="511" w:name="X91c47195151bce19937285e13f3f2027405eb2a"/>
    <w:p>
      <w:pPr>
        <w:pStyle w:val="Heading4"/>
      </w:pPr>
      <w:r>
        <w:t xml:space="preserve">External telecommunications services (SC-7(4))</w:t>
      </w:r>
    </w:p>
    <w:p>
      <w:pPr>
        <w:pStyle w:val="Guidance"/>
      </w:pPr>
      <w:r>
        <w:t xml:space="preserve">Control plane traffic is the routing and signaling traffic between networks, such as BGP route announcements. Items (f) to (h) usually fall to the network or internet service team: route filtering, and publishing the organization’s address space and routing policy so others can detect hijacked routes.</w:t>
      </w:r>
    </w:p>
    <w:p>
      <w:pPr>
        <w:pStyle w:val="Compact"/>
        <w:numPr>
          <w:ilvl w:val="0"/>
          <w:numId w:val="1381"/>
        </w:numPr>
      </w:pPr>
      <w:r>
        <w:t xml:space="preserve">The</w:t>
      </w:r>
      <w:r>
        <w:t xml:space="preserve"> </w:t>
      </w:r>
      <w:r>
        <w:rPr>
          <w:rStyle w:val="Fill-in"/>
        </w:rPr>
        <w:t xml:space="preserve">[System owner]</w:t>
      </w:r>
      <w:r>
        <w:t xml:space="preserve"> </w:t>
      </w:r>
      <w:r>
        <w:t xml:space="preserve">shall implement a managed interface for each external telecommunication service. (SC-7(4)(a))</w:t>
      </w:r>
    </w:p>
    <w:p>
      <w:pPr>
        <w:pStyle w:val="Compact"/>
        <w:numPr>
          <w:ilvl w:val="0"/>
          <w:numId w:val="1381"/>
        </w:numPr>
      </w:pPr>
      <w:r>
        <w:t xml:space="preserve">The</w:t>
      </w:r>
      <w:r>
        <w:t xml:space="preserve"> </w:t>
      </w:r>
      <w:r>
        <w:rPr>
          <w:rStyle w:val="Fill-in"/>
        </w:rPr>
        <w:t xml:space="preserve">[System owner]</w:t>
      </w:r>
      <w:r>
        <w:t xml:space="preserve"> </w:t>
      </w:r>
      <w:r>
        <w:t xml:space="preserve">shall establish a traffic flow policy for each managed interface. (SC-7(4)(b))</w:t>
      </w:r>
    </w:p>
    <w:p>
      <w:pPr>
        <w:pStyle w:val="Compact"/>
        <w:numPr>
          <w:ilvl w:val="0"/>
          <w:numId w:val="1381"/>
        </w:numPr>
      </w:pPr>
      <w:r>
        <w:t xml:space="preserve">The</w:t>
      </w:r>
      <w:r>
        <w:t xml:space="preserve"> </w:t>
      </w:r>
      <w:r>
        <w:rPr>
          <w:rStyle w:val="Fill-in"/>
        </w:rPr>
        <w:t xml:space="preserve">[System owner]</w:t>
      </w:r>
      <w:r>
        <w:t xml:space="preserve"> </w:t>
      </w:r>
      <w:r>
        <w:t xml:space="preserve">shall protect the confidentiality and integrity of the information transmitted across each interface. (SC-7(4)(c))</w:t>
      </w:r>
    </w:p>
    <w:p>
      <w:pPr>
        <w:pStyle w:val="Compact"/>
        <w:numPr>
          <w:ilvl w:val="0"/>
          <w:numId w:val="1381"/>
        </w:numPr>
      </w:pPr>
      <w:r>
        <w:t xml:space="preserve">The</w:t>
      </w:r>
      <w:r>
        <w:t xml:space="preserve"> </w:t>
      </w:r>
      <w:r>
        <w:rPr>
          <w:rStyle w:val="Fill-in"/>
        </w:rPr>
        <w:t xml:space="preserve">[System owner]</w:t>
      </w:r>
      <w:r>
        <w:t xml:space="preserve"> </w:t>
      </w:r>
      <w:r>
        <w:t xml:space="preserve">shall document each exception to the traffic flow policy with the mission or business need that supports it and the duration of that need. (SC-7(4)(d))</w:t>
      </w:r>
    </w:p>
    <w:p>
      <w:pPr>
        <w:pStyle w:val="Compact"/>
        <w:numPr>
          <w:ilvl w:val="0"/>
          <w:numId w:val="1381"/>
        </w:numPr>
      </w:pPr>
      <w:r>
        <w:t xml:space="preserve">The</w:t>
      </w:r>
      <w:r>
        <w:t xml:space="preserve"> </w:t>
      </w:r>
      <w:r>
        <w:rPr>
          <w:rStyle w:val="Fill-in"/>
        </w:rPr>
        <w:t xml:space="preserve">[System owner]</w:t>
      </w:r>
      <w:r>
        <w:t xml:space="preserve"> </w:t>
      </w:r>
      <w:r>
        <w:t xml:space="preserve">shall review exceptions to the traffic flow policy</w:t>
      </w:r>
      <w:r>
        <w:t xml:space="preserve"> </w:t>
      </w:r>
      <w:r>
        <w:rPr>
          <w:rStyle w:val="Fill-in"/>
        </w:rPr>
        <w:t xml:space="preserve">[Fill in: the frequency at which to review exceptions to traffic flow policy. Typical: at least annually, and when the system changes]</w:t>
      </w:r>
      <w:r>
        <w:t xml:space="preserve">, and remove exceptions that an explicit mission or business need no longer supports. (SC-7(4)(e))</w:t>
      </w:r>
    </w:p>
    <w:p>
      <w:pPr>
        <w:pStyle w:val="Compact"/>
        <w:numPr>
          <w:ilvl w:val="0"/>
          <w:numId w:val="1381"/>
        </w:numPr>
      </w:pPr>
      <w:r>
        <w:t xml:space="preserve">The</w:t>
      </w:r>
      <w:r>
        <w:t xml:space="preserve"> </w:t>
      </w:r>
      <w:r>
        <w:rPr>
          <w:rStyle w:val="Fill-in"/>
        </w:rPr>
        <w:t xml:space="preserve">[System owner]</w:t>
      </w:r>
      <w:r>
        <w:t xml:space="preserve"> </w:t>
      </w:r>
      <w:r>
        <w:t xml:space="preserve">shall prevent unauthorized exchange of control plane traffic with external networks. (SC-7(4)(f))</w:t>
      </w:r>
    </w:p>
    <w:p>
      <w:pPr>
        <w:pStyle w:val="Compact"/>
        <w:numPr>
          <w:ilvl w:val="0"/>
          <w:numId w:val="1381"/>
        </w:numPr>
      </w:pPr>
      <w:r>
        <w:t xml:space="preserve">The</w:t>
      </w:r>
      <w:r>
        <w:t xml:space="preserve"> </w:t>
      </w:r>
      <w:r>
        <w:rPr>
          <w:rStyle w:val="Fill-in"/>
        </w:rPr>
        <w:t xml:space="preserve">[System owner]</w:t>
      </w:r>
      <w:r>
        <w:t xml:space="preserve"> </w:t>
      </w:r>
      <w:r>
        <w:t xml:space="preserve">shall publish information that enables remote networks to detect unauthorized control plane traffic from internal networks. (SC-7(4)(g))</w:t>
      </w:r>
    </w:p>
    <w:p>
      <w:pPr>
        <w:pStyle w:val="Compact"/>
        <w:numPr>
          <w:ilvl w:val="0"/>
          <w:numId w:val="1381"/>
        </w:numPr>
      </w:pPr>
      <w:r>
        <w:t xml:space="preserve">The</w:t>
      </w:r>
      <w:r>
        <w:t xml:space="preserve"> </w:t>
      </w:r>
      <w:r>
        <w:rPr>
          <w:rStyle w:val="Fill-in"/>
        </w:rPr>
        <w:t xml:space="preserve">[System owner]</w:t>
      </w:r>
      <w:r>
        <w:t xml:space="preserve"> </w:t>
      </w:r>
      <w:r>
        <w:t xml:space="preserve">shall filter unauthorized control plane traffic from external networks. (SC-7(4)(h))</w:t>
      </w:r>
    </w:p>
    <w:bookmarkEnd w:id="511"/>
    <w:bookmarkStart w:id="512" w:name="deny-by-default-allow-by-exception-sc-75"/>
    <w:p>
      <w:pPr>
        <w:pStyle w:val="Heading4"/>
      </w:pPr>
      <w:r>
        <w:t xml:space="preserve">Deny by default, allow by exception (SC-7(5))</w:t>
      </w:r>
    </w:p>
    <w:p>
      <w:pPr>
        <w:pStyle w:val="Compact"/>
        <w:numPr>
          <w:ilvl w:val="0"/>
          <w:numId w:val="1382"/>
        </w:numPr>
      </w:pPr>
      <w:r>
        <w:t xml:space="preserve">The</w:t>
      </w:r>
      <w:r>
        <w:t xml:space="preserve"> </w:t>
      </w:r>
      <w:r>
        <w:rPr>
          <w:rStyle w:val="Fill-in"/>
        </w:rPr>
        <w:t xml:space="preserve">[System owner]</w:t>
      </w:r>
      <w:r>
        <w:t xml:space="preserve"> </w:t>
      </w:r>
      <w:r>
        <w:t xml:space="preserve">shall ensure network communications traffic is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bookmarkEnd w:id="512"/>
    <w:bookmarkStart w:id="513" w:name="split-tunneling-for-remote-devices-sc-77"/>
    <w:p>
      <w:pPr>
        <w:pStyle w:val="Heading4"/>
      </w:pPr>
      <w:r>
        <w:t xml:space="preserve">Split tunneling for remote devices (SC-7(7))</w:t>
      </w:r>
    </w:p>
    <w:p>
      <w:pPr>
        <w:pStyle w:val="Guidance"/>
      </w:pPr>
      <w:r>
        <w:t xml:space="preserve">Split tunneling lets a remote device reach the internet directly while connected to the organization’s network, bypassing its boundary protections. Where a zero trust access service replaces the virtual private network, record how its design meets the intent.</w:t>
      </w:r>
    </w:p>
    <w:p>
      <w:pPr>
        <w:pStyle w:val="Compact"/>
        <w:numPr>
          <w:ilvl w:val="0"/>
          <w:numId w:val="1383"/>
        </w:numPr>
      </w:pPr>
      <w:r>
        <w:t xml:space="preserve">The</w:t>
      </w:r>
      <w:r>
        <w:t xml:space="preserve"> </w:t>
      </w:r>
      <w:r>
        <w:rPr>
          <w:rStyle w:val="Fill-in"/>
        </w:rPr>
        <w:t xml:space="preserve">[System owner]</w:t>
      </w:r>
      <w:r>
        <w:t xml:space="preserve"> </w:t>
      </w:r>
      <w:r>
        <w:t xml:space="preserve">shall prevent split tunneling for remote devices connecting to organizational systems, except where the split tunnel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bookmarkEnd w:id="513"/>
    <w:bookmarkStart w:id="514" w:name="X7e071c2e1f7e4c113185cf26608b6e9a0540afd"/>
    <w:p>
      <w:pPr>
        <w:pStyle w:val="Heading4"/>
      </w:pPr>
      <w:r>
        <w:t xml:space="preserve">Route traffic to authenticated proxy servers (SC-7(8))</w:t>
      </w:r>
    </w:p>
    <w:p>
      <w:pPr>
        <w:pStyle w:val="Compact"/>
        <w:numPr>
          <w:ilvl w:val="0"/>
          <w:numId w:val="1384"/>
        </w:numPr>
      </w:pPr>
      <w:r>
        <w:t xml:space="preserve">The</w:t>
      </w:r>
      <w:r>
        <w:t xml:space="preserve"> </w:t>
      </w:r>
      <w:r>
        <w:rPr>
          <w:rStyle w:val="Fill-in"/>
        </w:rPr>
        <w:t xml:space="preserve">[System owner]</w:t>
      </w:r>
      <w:r>
        <w:t xml:space="preserve"> </w:t>
      </w:r>
      <w:r>
        <w:t xml:space="preserve">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bookmarkEnd w:id="514"/>
    <w:bookmarkStart w:id="515" w:name="fail-secure-sc-718"/>
    <w:p>
      <w:pPr>
        <w:pStyle w:val="Heading4"/>
      </w:pPr>
      <w:r>
        <w:t xml:space="preserve">Fail secure (SC-7(18))</w:t>
      </w:r>
    </w:p>
    <w:p>
      <w:pPr>
        <w:pStyle w:val="Guidance"/>
      </w:pPr>
      <w:r>
        <w:t xml:space="preserve">SC-7(18) is in the High baseline. A boundary device that fails should block traffic, not pass it; confirm the setting for each firewall, gateway and proxy, and test it.</w:t>
      </w:r>
    </w:p>
    <w:p>
      <w:pPr>
        <w:pStyle w:val="Compact"/>
        <w:numPr>
          <w:ilvl w:val="0"/>
          <w:numId w:val="1385"/>
        </w:numPr>
      </w:pPr>
      <w:r>
        <w:t xml:space="preserve">The</w:t>
      </w:r>
      <w:r>
        <w:t xml:space="preserve"> </w:t>
      </w:r>
      <w:r>
        <w:rPr>
          <w:rStyle w:val="Fill-in"/>
        </w:rPr>
        <w:t xml:space="preserve">[System owner]</w:t>
      </w:r>
      <w:r>
        <w:t xml:space="preserve"> </w:t>
      </w:r>
      <w:r>
        <w:t xml:space="preserve">shall prevent the system from entering an unsecure state when a boundary protection device fails. (SC-7(18))</w:t>
      </w:r>
    </w:p>
    <w:bookmarkEnd w:id="515"/>
    <w:bookmarkStart w:id="516" w:name="isolation-of-system-components-sc-721"/>
    <w:p>
      <w:pPr>
        <w:pStyle w:val="Heading4"/>
      </w:pPr>
      <w:r>
        <w:t xml:space="preserve">Isolation of system components (SC-7(21))</w:t>
      </w:r>
    </w:p>
    <w:p>
      <w:pPr>
        <w:pStyle w:val="Guidance"/>
      </w:pPr>
      <w:r>
        <w:t xml:space="preserve">SC-7(21) is in the High baseline. Isolation is usually a separate network segment or cloud account with its own boundary rules.</w:t>
      </w:r>
    </w:p>
    <w:p>
      <w:pPr>
        <w:pStyle w:val="Compact"/>
        <w:numPr>
          <w:ilvl w:val="0"/>
          <w:numId w:val="1386"/>
        </w:numPr>
      </w:pPr>
      <w:r>
        <w:t xml:space="preserve">The</w:t>
      </w:r>
      <w:r>
        <w:t xml:space="preserve"> </w:t>
      </w:r>
      <w:r>
        <w:rPr>
          <w:rStyle w:val="Fill-in"/>
        </w:rPr>
        <w:t xml:space="preserve">[System owner]</w:t>
      </w:r>
      <w:r>
        <w:t xml:space="preserve"> </w:t>
      </w:r>
      <w:r>
        <w:t xml:space="preserve">shall employ boundary protection mechanisms to isolate</w:t>
      </w:r>
      <w:r>
        <w:t xml:space="preserve"> </w:t>
      </w:r>
      <w:r>
        <w:rPr>
          <w:rStyle w:val="Fill-in"/>
        </w:rPr>
        <w:t xml:space="preserve">[Fill in: system components to be isolated by boundary protection mechanisms. Typical: components that process the most sensitive information, and security management components such as identity, key management and logging services]</w:t>
      </w:r>
      <w:r>
        <w:t xml:space="preserve"> </w:t>
      </w:r>
      <w:r>
        <w:t xml:space="preserve">supporting</w:t>
      </w:r>
      <w:r>
        <w:t xml:space="preserve"> </w:t>
      </w:r>
      <w:r>
        <w:rPr>
          <w:rStyle w:val="Fill-in"/>
        </w:rPr>
        <w:t xml:space="preserve">[Fill in: missions and/or business functions to be supported by system components isolated by boundary protection mechanisms. Typical: the essential mission and business functions named in the business impact analysis]</w:t>
      </w:r>
      <w:r>
        <w:t xml:space="preserve">. (SC-7(21))</w:t>
      </w:r>
    </w:p>
    <w:bookmarkEnd w:id="516"/>
    <w:bookmarkStart w:id="519" w:name="X589078ccb071e47f3b398a9312a5d2b07e43442"/>
    <w:p>
      <w:pPr>
        <w:pStyle w:val="Heading4"/>
      </w:pPr>
      <w:r>
        <w:t xml:space="preserve">Transmission confidentiality and integrity (SC-8)</w:t>
      </w:r>
    </w:p>
    <w:p>
      <w:pPr>
        <w:pStyle w:val="Guidance"/>
      </w:pPr>
      <w:r>
        <w:t xml:space="preserve">Protect information while it moves, inside the system as well as across its boundary. At Moderate and High, SC-8(1) makes that protection cryptographic, using the cryptography SC-13 requires.</w:t>
      </w:r>
    </w:p>
    <w:p>
      <w:pPr>
        <w:pStyle w:val="Compact"/>
        <w:numPr>
          <w:ilvl w:val="0"/>
          <w:numId w:val="1387"/>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 transmitted information. (SC-8)</w:t>
      </w:r>
    </w:p>
    <w:bookmarkStart w:id="518" w:name="federal-systems-50"/>
    <w:p>
      <w:pPr>
        <w:pStyle w:val="Heading5"/>
      </w:pPr>
      <w:r>
        <w:t xml:space="preserve">Federal systems</w:t>
      </w:r>
    </w:p>
    <w:p>
      <w:pPr>
        <w:pStyle w:val="FirstParagraph"/>
      </w:pPr>
      <w:r>
        <w:t xml:space="preserve">CISA</w:t>
      </w:r>
      <w:r>
        <w:t xml:space="preserve"> </w:t>
      </w:r>
      <w:hyperlink r:id="rId517">
        <w:r>
          <w:rPr>
            <w:rStyle w:val="Hyperlink"/>
          </w:rPr>
          <w:t xml:space="preserve">Binding Operational Directive 18-01</w:t>
        </w:r>
      </w:hyperlink>
      <w:r>
        <w:t xml:space="preserve">, Enhance Email and Web Security (October 16, 2017), requires that</w:t>
      </w:r>
      <w:r>
        <w:t xml:space="preserve"> </w:t>
      </w:r>
      <w:r>
        <w:t xml:space="preserve">“All publicly accessible Federal websites and web services provide service through a secure connection (HTTPS-only, with HSTS)”</w:t>
      </w:r>
      <w:r>
        <w:t xml:space="preserve">, that internet-facing mail servers offer STARTTLS, and that SSLv2, SSLv3, 3DES and RC4 are disabled on mail servers. CISA’s directive page does not mark it revoked (as of September 2026).</w:t>
      </w:r>
    </w:p>
    <w:p>
      <w:pPr>
        <w:pStyle w:val="Compact"/>
        <w:numPr>
          <w:ilvl w:val="0"/>
          <w:numId w:val="1388"/>
        </w:numPr>
      </w:pPr>
      <w:r>
        <w:t xml:space="preserve">The</w:t>
      </w:r>
      <w:r>
        <w:t xml:space="preserve"> </w:t>
      </w:r>
      <w:r>
        <w:rPr>
          <w:rStyle w:val="Fill-in"/>
        </w:rPr>
        <w:t xml:space="preserve">[System owner]</w:t>
      </w:r>
      <w:r>
        <w:t xml:space="preserve"> </w:t>
      </w:r>
      <w:r>
        <w:t xml:space="preserve">shall ensure each publicly accessible website and web service of the system provides service only through HTTPS, with HTTP Strict Transport Security. (SC-8)</w:t>
      </w:r>
    </w:p>
    <w:p>
      <w:pPr>
        <w:pStyle w:val="Compact"/>
        <w:numPr>
          <w:ilvl w:val="0"/>
          <w:numId w:val="1388"/>
        </w:numPr>
      </w:pPr>
      <w:r>
        <w:t xml:space="preserve">The</w:t>
      </w:r>
      <w:r>
        <w:t xml:space="preserve"> </w:t>
      </w:r>
      <w:r>
        <w:rPr>
          <w:rStyle w:val="Fill-in"/>
        </w:rPr>
        <w:t xml:space="preserve">[System owner]</w:t>
      </w:r>
      <w:r>
        <w:t xml:space="preserve"> </w:t>
      </w:r>
      <w:r>
        <w:t xml:space="preserve">shall ensure each internet-facing mail server of the system offers STARTTLS. (SC-8)</w:t>
      </w:r>
    </w:p>
    <w:p>
      <w:pPr>
        <w:pStyle w:val="Compact"/>
        <w:numPr>
          <w:ilvl w:val="0"/>
          <w:numId w:val="1388"/>
        </w:numPr>
      </w:pPr>
      <w:r>
        <w:t xml:space="preserve">The</w:t>
      </w:r>
      <w:r>
        <w:t xml:space="preserve"> </w:t>
      </w:r>
      <w:r>
        <w:rPr>
          <w:rStyle w:val="Fill-in"/>
        </w:rPr>
        <w:t xml:space="preserve">[System owner]</w:t>
      </w:r>
      <w:r>
        <w:t xml:space="preserve"> </w:t>
      </w:r>
      <w:r>
        <w:t xml:space="preserve">shall ensure SSLv2, SSLv3 and the 3DES and RC4 ciphers are disabled on the system’s mail servers. (SC-8)</w:t>
      </w:r>
    </w:p>
    <w:bookmarkEnd w:id="518"/>
    <w:bookmarkEnd w:id="519"/>
    <w:bookmarkStart w:id="520" w:name="cryptographic-protection-sc-81"/>
    <w:p>
      <w:pPr>
        <w:pStyle w:val="Heading4"/>
      </w:pPr>
      <w:r>
        <w:t xml:space="preserve">Cryptographic protection (SC-8(1))</w:t>
      </w:r>
    </w:p>
    <w:p>
      <w:pPr>
        <w:pStyle w:val="Guidance"/>
      </w:pPr>
      <w:r>
        <w:t xml:space="preserve">In practice: TLS 1.2 or later for web, API and database connections, SSH for administration, IPsec or TLS for virtual private networks, and encryption on internal service-to-service traffic. Cleartext protocols such as Telnet and unencrypted FTP are disabled.</w:t>
      </w:r>
    </w:p>
    <w:p>
      <w:pPr>
        <w:pStyle w:val="Compact"/>
        <w:numPr>
          <w:ilvl w:val="0"/>
          <w:numId w:val="1389"/>
        </w:numPr>
      </w:pPr>
      <w:r>
        <w:t xml:space="preserve">The</w:t>
      </w:r>
      <w:r>
        <w:t xml:space="preserve"> </w:t>
      </w:r>
      <w:r>
        <w:rPr>
          <w:rStyle w:val="Fill-in"/>
        </w:rPr>
        <w:t xml:space="preserve">[System owner]</w:t>
      </w:r>
      <w:r>
        <w:t xml:space="preserve"> </w:t>
      </w:r>
      <w:r>
        <w:t xml:space="preserve">shall implement cryptographic mechanisms to</w:t>
      </w:r>
      <w:r>
        <w:t xml:space="preserve"> </w:t>
      </w:r>
      <w:r>
        <w:rPr>
          <w:rStyle w:val="Fill-in"/>
        </w:rPr>
        <w:t xml:space="preserve">[Select one or more: prevent unauthorized disclosure of information; detect changes to information. Typical: prevent unauthorized disclosure of information and detect changes to information]</w:t>
      </w:r>
      <w:r>
        <w:t xml:space="preserve"> </w:t>
      </w:r>
      <w:r>
        <w:t xml:space="preserve">during transmission. (SC-8(1))</w:t>
      </w:r>
    </w:p>
    <w:bookmarkEnd w:id="520"/>
    <w:bookmarkStart w:id="521" w:name="network-disconnect-sc-10"/>
    <w:p>
      <w:pPr>
        <w:pStyle w:val="Heading4"/>
      </w:pPr>
      <w:r>
        <w:t xml:space="preserve">Network disconnect (SC-10)</w:t>
      </w:r>
    </w:p>
    <w:p>
      <w:pPr>
        <w:pStyle w:val="Guidance"/>
      </w:pPr>
      <w:r>
        <w:t xml:space="preserve">SC-10 ends the network connection; AC-12 ends the user’s session. Keep the two times consistent: the typical value here matches the 30 minutes AC-12 sets for remote and web sessions.</w:t>
      </w:r>
    </w:p>
    <w:p>
      <w:pPr>
        <w:pStyle w:val="Compact"/>
        <w:numPr>
          <w:ilvl w:val="0"/>
          <w:numId w:val="1390"/>
        </w:numPr>
      </w:pPr>
      <w:r>
        <w:t xml:space="preserve">The</w:t>
      </w:r>
      <w:r>
        <w:t xml:space="preserve"> </w:t>
      </w:r>
      <w:r>
        <w:rPr>
          <w:rStyle w:val="Fill-in"/>
        </w:rPr>
        <w:t xml:space="preserve">[System owner]</w:t>
      </w:r>
      <w:r>
        <w:t xml:space="preserve"> </w:t>
      </w:r>
      <w:r>
        <w:t xml:space="preserve">shall ensure the system terminates the network connection associated with a communications session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bookmarkEnd w:id="521"/>
    <w:bookmarkStart w:id="522" w:name="X2b8de20cf98ecb7b6fd679b1bacec144cb5a261"/>
    <w:p>
      <w:pPr>
        <w:pStyle w:val="Heading4"/>
      </w:pPr>
      <w:r>
        <w:t xml:space="preserve">Cryptographic key establishment and management (SC-12)</w:t>
      </w:r>
    </w:p>
    <w:p>
      <w:pPr>
        <w:pStyle w:val="Guidance"/>
      </w:pPr>
      <w:r>
        <w:t xml:space="preserve">Key management is where encryption usually fails: keys stored with the data, or usable by every administrator. NIST SP 800-57 Part 1 is the usual reference for key management requirements. Cloud key management services and hardware security modules handle most of it; the system owner decides who can use and administer each key. The</w:t>
      </w:r>
      <w:r>
        <w:t xml:space="preserve"> </w:t>
      </w:r>
      <w:hyperlink r:id="rId302">
        <w:r>
          <w:rPr>
            <w:rStyle w:val="Hyperlink"/>
          </w:rPr>
          <w:t xml:space="preserve">Encryption and Key Management Standard</w:t>
        </w:r>
      </w:hyperlink>
      <w:r>
        <w:t xml:space="preserve"> </w:t>
      </w:r>
      <w:r>
        <w:t xml:space="preserve">sets the key generation, storage, access, replacement and destruction requirements this clause refers to.</w:t>
      </w:r>
    </w:p>
    <w:p>
      <w:pPr>
        <w:pStyle w:val="Compact"/>
        <w:numPr>
          <w:ilvl w:val="0"/>
          <w:numId w:val="1391"/>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522"/>
    <w:bookmarkStart w:id="523" w:name="availability-sc-121"/>
    <w:p>
      <w:pPr>
        <w:pStyle w:val="Heading4"/>
      </w:pPr>
      <w:r>
        <w:t xml:space="preserve">Availability (SC-12(1))</w:t>
      </w:r>
    </w:p>
    <w:p>
      <w:pPr>
        <w:pStyle w:val="Guidance"/>
      </w:pPr>
      <w:r>
        <w:t xml:space="preserve">SC-12(1) is in the High baseline. Key escrow or recovery keys held by the organization, such as the recovery keys for full-disk encryption, keep information available when a user loses a key.</w:t>
      </w:r>
    </w:p>
    <w:p>
      <w:pPr>
        <w:pStyle w:val="Compact"/>
        <w:numPr>
          <w:ilvl w:val="0"/>
          <w:numId w:val="1392"/>
        </w:numPr>
      </w:pPr>
      <w:r>
        <w:t xml:space="preserve">The</w:t>
      </w:r>
      <w:r>
        <w:t xml:space="preserve"> </w:t>
      </w:r>
      <w:r>
        <w:rPr>
          <w:rStyle w:val="Fill-in"/>
        </w:rPr>
        <w:t xml:space="preserve">[System owner]</w:t>
      </w:r>
      <w:r>
        <w:t xml:space="preserve"> </w:t>
      </w:r>
      <w:r>
        <w:t xml:space="preserve">shall maintain the availability of information when users lose cryptographic keys. (SC-12(1))</w:t>
      </w:r>
    </w:p>
    <w:bookmarkEnd w:id="523"/>
    <w:bookmarkStart w:id="526" w:name="cryptographic-protection-sc-13"/>
    <w:p>
      <w:pPr>
        <w:pStyle w:val="Heading4"/>
      </w:pPr>
      <w:r>
        <w:t xml:space="preserve">Cryptographic protection (SC-13)</w:t>
      </w:r>
    </w:p>
    <w:p>
      <w:pPr>
        <w:pStyle w:val="Guidance"/>
      </w:pPr>
      <w:r>
        <w:t xml:space="preserve">SC-13 does not require cryptography by itself; SC-8, SC-28, IA-5 and AC-17 do. It sets the standard that cryptography must meet wherever those controls call for it. The cryptographic uses match those under configuration management in CM-3(6). The</w:t>
      </w:r>
      <w:r>
        <w:t xml:space="preserve"> </w:t>
      </w:r>
      <w:hyperlink r:id="rId302">
        <w:r>
          <w:rPr>
            <w:rStyle w:val="Hyperlink"/>
          </w:rPr>
          <w:t xml:space="preserve">Encryption and Key Management Standard</w:t>
        </w:r>
      </w:hyperlink>
      <w:r>
        <w:t xml:space="preserve"> </w:t>
      </w:r>
      <w:r>
        <w:t xml:space="preserve">lists the approved algorithms, protocols and modules for each use.</w:t>
      </w:r>
    </w:p>
    <w:p>
      <w:pPr>
        <w:pStyle w:val="Compact"/>
        <w:numPr>
          <w:ilvl w:val="0"/>
          <w:numId w:val="1393"/>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393"/>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525" w:name="federal-systems-51"/>
    <w:p>
      <w:pPr>
        <w:pStyle w:val="Heading5"/>
      </w:pPr>
      <w:r>
        <w:t xml:space="preserve">Federal systems</w:t>
      </w:r>
    </w:p>
    <w:p>
      <w:pPr>
        <w:pStyle w:val="FirstParagraph"/>
      </w:pPr>
      <w:hyperlink r:id="rId524">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218">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394"/>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394"/>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525"/>
    <w:bookmarkEnd w:id="526"/>
    <w:bookmarkStart w:id="527" w:name="Xe590191d5b1c5956d67609fe9f2e395167b0d2c"/>
    <w:p>
      <w:pPr>
        <w:pStyle w:val="Heading4"/>
      </w:pPr>
      <w:r>
        <w:t xml:space="preserve">Collaborative computing devices and applications (SC-15)</w:t>
      </w:r>
    </w:p>
    <w:p>
      <w:pPr>
        <w:pStyle w:val="Guidance"/>
      </w:pPr>
      <w:r>
        <w:t xml:space="preserve">Collaborative computing devices include cameras, microphones, networked whiteboards and conferencing applications. The point is that nobody can switch on a camera or microphone remotely without the people in the room knowing.</w:t>
      </w:r>
    </w:p>
    <w:p>
      <w:pPr>
        <w:pStyle w:val="Compact"/>
        <w:numPr>
          <w:ilvl w:val="0"/>
          <w:numId w:val="1395"/>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395"/>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527"/>
    <w:bookmarkStart w:id="528" w:name="Xea9a2283071c640dde0dec5a7d581975144b3bd"/>
    <w:p>
      <w:pPr>
        <w:pStyle w:val="Heading4"/>
      </w:pPr>
      <w:r>
        <w:t xml:space="preserve">Public key infrastructure certificates (SC-17)</w:t>
      </w:r>
    </w:p>
    <w:p>
      <w:pPr>
        <w:pStyle w:val="Guidance"/>
      </w:pPr>
      <w:r>
        <w:t xml:space="preserve">Most organizations obtain certificates for public services from a public certificate authority, which counts as an approved service provider, and run an internal certificate authority under their own certificate policy for internal services. Trust stores should hold only the trust anchors the organization approves.</w:t>
      </w:r>
    </w:p>
    <w:p>
      <w:pPr>
        <w:pStyle w:val="Compact"/>
        <w:numPr>
          <w:ilvl w:val="0"/>
          <w:numId w:val="1396"/>
        </w:numPr>
      </w:pPr>
      <w:r>
        <w:t xml:space="preserve">The</w:t>
      </w:r>
      <w:r>
        <w:t xml:space="preserve"> </w:t>
      </w:r>
      <w:r>
        <w:rPr>
          <w:rStyle w:val="Fill-in"/>
        </w:rPr>
        <w:t xml:space="preserve">[Chief Information Security Officer]</w:t>
      </w:r>
      <w:r>
        <w:t xml:space="preserve"> </w:t>
      </w:r>
      <w:r>
        <w:t xml:space="preserve">shall ensure public key certificates are issued under</w:t>
      </w:r>
      <w:r>
        <w:t xml:space="preserve"> </w:t>
      </w:r>
      <w:r>
        <w:rPr>
          <w:rStyle w:val="Fill-in"/>
        </w:rPr>
        <w:t xml:space="preserve">[Fill in: a certificate policy for issuing public key certificates. Typical: the organization’s certificate policy]</w:t>
      </w:r>
      <w:r>
        <w:t xml:space="preserve">, or obtained from an approved service provider. (SC-17a)</w:t>
      </w:r>
    </w:p>
    <w:p>
      <w:pPr>
        <w:pStyle w:val="Compact"/>
        <w:numPr>
          <w:ilvl w:val="0"/>
          <w:numId w:val="1396"/>
        </w:numPr>
      </w:pPr>
      <w:r>
        <w:t xml:space="preserve">The</w:t>
      </w:r>
      <w:r>
        <w:t xml:space="preserve"> </w:t>
      </w:r>
      <w:r>
        <w:rPr>
          <w:rStyle w:val="Fill-in"/>
        </w:rPr>
        <w:t xml:space="preserve">[System owner]</w:t>
      </w:r>
      <w:r>
        <w:t xml:space="preserve"> </w:t>
      </w:r>
      <w:r>
        <w:t xml:space="preserve">shall include only approved trust anchors in trust stores or certificate stores the organization manages. (SC-17b)</w:t>
      </w:r>
    </w:p>
    <w:bookmarkEnd w:id="528"/>
    <w:bookmarkStart w:id="529" w:name="mobile-code-sc-18"/>
    <w:p>
      <w:pPr>
        <w:pStyle w:val="Heading4"/>
      </w:pPr>
      <w:r>
        <w:t xml:space="preserve">Mobile code (SC-18)</w:t>
      </w:r>
    </w:p>
    <w:p>
      <w:pPr>
        <w:pStyle w:val="Guidance"/>
      </w:pPr>
      <w:r>
        <w:t xml:space="preserve">Mobile code is software sent from a remote system and run on a local one, such as JavaScript, macros in office documents and browser plug-ins. Define what is acceptable by technology, for example signed macros only and no browser plug-ins, and enforce it through browser and office application settings.</w:t>
      </w:r>
    </w:p>
    <w:p>
      <w:pPr>
        <w:pStyle w:val="Compact"/>
        <w:numPr>
          <w:ilvl w:val="0"/>
          <w:numId w:val="1397"/>
        </w:numPr>
      </w:pPr>
      <w:r>
        <w:t xml:space="preserve">The</w:t>
      </w:r>
      <w:r>
        <w:t xml:space="preserve"> </w:t>
      </w:r>
      <w:r>
        <w:rPr>
          <w:rStyle w:val="Fill-in"/>
        </w:rPr>
        <w:t xml:space="preserve">[Chief Information Security Officer]</w:t>
      </w:r>
      <w:r>
        <w:t xml:space="preserve"> </w:t>
      </w:r>
      <w:r>
        <w:t xml:space="preserve">shall define acceptable and unacceptable mobile code and mobile code technologies. (SC-18a)</w:t>
      </w:r>
    </w:p>
    <w:p>
      <w:pPr>
        <w:pStyle w:val="Compact"/>
        <w:numPr>
          <w:ilvl w:val="0"/>
          <w:numId w:val="1397"/>
        </w:numPr>
      </w:pPr>
      <w:r>
        <w:t xml:space="preserve">The</w:t>
      </w:r>
      <w:r>
        <w:t xml:space="preserve"> </w:t>
      </w:r>
      <w:r>
        <w:rPr>
          <w:rStyle w:val="Fill-in"/>
        </w:rPr>
        <w:t xml:space="preserve">[System owner]</w:t>
      </w:r>
      <w:r>
        <w:t xml:space="preserve"> </w:t>
      </w:r>
      <w:r>
        <w:t xml:space="preserve">shall authorize, monitor and control the use of mobile code within the system. (SC-18b)</w:t>
      </w:r>
    </w:p>
    <w:bookmarkEnd w:id="529"/>
    <w:bookmarkStart w:id="531" w:name="Xec9f8f0a54c66ad00a08fd17b585f4bee8db425"/>
    <w:p>
      <w:pPr>
        <w:pStyle w:val="Heading4"/>
      </w:pPr>
      <w:r>
        <w:t xml:space="preserve">Secure name and address resolution service (authoritative source) (SC-20)</w:t>
      </w:r>
    </w:p>
    <w:p>
      <w:pPr>
        <w:pStyle w:val="Guidance"/>
      </w:pPr>
      <w:r>
        <w:t xml:space="preserve">In practice this is DNSSEC signing for the zones the organization publishes, often a setting at the managed DNS provider.</w:t>
      </w:r>
      <w:r>
        <w:t xml:space="preserve"> </w:t>
      </w:r>
      <w:hyperlink r:id="rId530">
        <w:r>
          <w:rPr>
            <w:rStyle w:val="Hyperlink"/>
          </w:rPr>
          <w:t xml:space="preserve">NIST SP 800-81 Rev. 3</w:t>
        </w:r>
      </w:hyperlink>
      <w:r>
        <w:t xml:space="preserve">, Secure Domain Name System (DNS) Deployment Guide (March 2026), is the NIST guide to deploying DNS securely, including DNSSEC.</w:t>
      </w:r>
    </w:p>
    <w:p>
      <w:pPr>
        <w:pStyle w:val="Compact"/>
        <w:numPr>
          <w:ilvl w:val="0"/>
          <w:numId w:val="1398"/>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398"/>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531"/>
    <w:bookmarkStart w:id="532" w:name="Xe84076ca1f0e05d26c8a8e450cbb5e99e994738"/>
    <w:p>
      <w:pPr>
        <w:pStyle w:val="Heading4"/>
      </w:pPr>
      <w:r>
        <w:t xml:space="preserve">Secure name and address resolution service (recursive or caching resolver) (SC-21)</w:t>
      </w:r>
    </w:p>
    <w:p>
      <w:pPr>
        <w:pStyle w:val="Guidance"/>
      </w:pPr>
      <w:r>
        <w:t xml:space="preserve">In practice this is DNSSEC validation turned on at the resolvers the system uses, or a DNS service that validates.</w:t>
      </w:r>
    </w:p>
    <w:p>
      <w:pPr>
        <w:pStyle w:val="Compact"/>
        <w:numPr>
          <w:ilvl w:val="0"/>
          <w:numId w:val="1399"/>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532"/>
    <w:bookmarkStart w:id="533" w:name="X8f12cca0f3cf7ed29cfff633cf8e2267823ae23"/>
    <w:p>
      <w:pPr>
        <w:pStyle w:val="Heading4"/>
      </w:pPr>
      <w:r>
        <w:t xml:space="preserve">Architecture and provisioning for name and address resolution service (SC-22)</w:t>
      </w:r>
    </w:p>
    <w:p>
      <w:pPr>
        <w:pStyle w:val="Guidance"/>
      </w:pPr>
      <w:r>
        <w:t xml:space="preserve">Fault tolerance means at least two name servers in different network locations. Role separation means internal and external name servers are separate, so internal names are not published to the internet.</w:t>
      </w:r>
    </w:p>
    <w:p>
      <w:pPr>
        <w:pStyle w:val="Compact"/>
        <w:numPr>
          <w:ilvl w:val="0"/>
          <w:numId w:val="1400"/>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533"/>
    <w:bookmarkStart w:id="534" w:name="session-authenticity-sc-23"/>
    <w:p>
      <w:pPr>
        <w:pStyle w:val="Heading4"/>
      </w:pPr>
      <w:r>
        <w:t xml:space="preserve">Session authenticity (SC-23)</w:t>
      </w:r>
    </w:p>
    <w:p>
      <w:pPr>
        <w:pStyle w:val="Guidance"/>
      </w:pPr>
      <w:r>
        <w:t xml:space="preserve">Session authenticity protects against session hijacking and replay: TLS with certificate validation, session identifiers that are random and expire, and invalidating session identifiers at logout.</w:t>
      </w:r>
    </w:p>
    <w:p>
      <w:pPr>
        <w:pStyle w:val="Compact"/>
        <w:numPr>
          <w:ilvl w:val="0"/>
          <w:numId w:val="1401"/>
        </w:numPr>
      </w:pPr>
      <w:r>
        <w:t xml:space="preserve">The</w:t>
      </w:r>
      <w:r>
        <w:t xml:space="preserve"> </w:t>
      </w:r>
      <w:r>
        <w:rPr>
          <w:rStyle w:val="Fill-in"/>
        </w:rPr>
        <w:t xml:space="preserve">[System owner]</w:t>
      </w:r>
      <w:r>
        <w:t xml:space="preserve"> </w:t>
      </w:r>
      <w:r>
        <w:t xml:space="preserve">shall ensure the system protects the authenticity of communications sessions. (SC-23)</w:t>
      </w:r>
    </w:p>
    <w:bookmarkEnd w:id="534"/>
    <w:bookmarkStart w:id="535" w:name="fail-in-known-state-sc-24"/>
    <w:p>
      <w:pPr>
        <w:pStyle w:val="Heading4"/>
      </w:pPr>
      <w:r>
        <w:t xml:space="preserve">Fail in known state (SC-24)</w:t>
      </w:r>
    </w:p>
    <w:p>
      <w:pPr>
        <w:pStyle w:val="Guidance"/>
      </w:pPr>
      <w:r>
        <w:t xml:space="preserve">SC-24 is in the High baseline.</w:t>
      </w:r>
    </w:p>
    <w:p>
      <w:pPr>
        <w:pStyle w:val="Compact"/>
        <w:numPr>
          <w:ilvl w:val="0"/>
          <w:numId w:val="1402"/>
        </w:numPr>
      </w:pPr>
      <w:r>
        <w:t xml:space="preserve">The</w:t>
      </w:r>
      <w:r>
        <w:t xml:space="preserve"> </w:t>
      </w:r>
      <w:r>
        <w:rPr>
          <w:rStyle w:val="Fill-in"/>
        </w:rPr>
        <w:t xml:space="preserve">[System owner]</w:t>
      </w:r>
      <w:r>
        <w:t xml:space="preserve"> </w:t>
      </w:r>
      <w:r>
        <w:t xml:space="preserve">shall ensure system components fail to</w:t>
      </w:r>
      <w:r>
        <w:t xml:space="preserve"> </w:t>
      </w:r>
      <w:r>
        <w:rPr>
          <w:rStyle w:val="Fill-in"/>
        </w:rPr>
        <w:t xml:space="preserve">[Fill in: known system state to which system components fail in the event of a system failure. Typical: a state that denies access through the affected components]</w:t>
      </w:r>
      <w:r>
        <w:t xml:space="preserve"> </w:t>
      </w:r>
      <w:r>
        <w:t xml:space="preserve">for the following failures:</w:t>
      </w:r>
      <w:r>
        <w:t xml:space="preserve"> </w:t>
      </w:r>
      <w:r>
        <w:rPr>
          <w:rStyle w:val="Fill-in"/>
        </w:rPr>
        <w:t xml:space="preserve">[Fill in: types of system failures for which the system components fail to a known state. Typical: failure of a boundary protection device, an authentication service or a database]</w:t>
      </w:r>
      <w:r>
        <w:t xml:space="preserve">. (SC-24)</w:t>
      </w:r>
    </w:p>
    <w:p>
      <w:pPr>
        <w:pStyle w:val="Compact"/>
        <w:numPr>
          <w:ilvl w:val="0"/>
          <w:numId w:val="1402"/>
        </w:numPr>
      </w:pPr>
      <w:r>
        <w:t xml:space="preserve">The</w:t>
      </w:r>
      <w:r>
        <w:t xml:space="preserve"> </w:t>
      </w:r>
      <w:r>
        <w:rPr>
          <w:rStyle w:val="Fill-in"/>
        </w:rPr>
        <w:t xml:space="preserve">[System owner]</w:t>
      </w:r>
      <w:r>
        <w:t xml:space="preserve"> </w:t>
      </w:r>
      <w:r>
        <w:t xml:space="preserve">shall ensure the system preserves</w:t>
      </w:r>
      <w:r>
        <w:t xml:space="preserve"> </w:t>
      </w:r>
      <w:r>
        <w:rPr>
          <w:rStyle w:val="Fill-in"/>
        </w:rPr>
        <w:t xml:space="preserve">[Fill in: system state information to be preserved in the event of a system failure. Typical: transactions in progress, audit records and configuration settings]</w:t>
      </w:r>
      <w:r>
        <w:t xml:space="preserve"> </w:t>
      </w:r>
      <w:r>
        <w:t xml:space="preserve">when those failures occur. (SC-24)</w:t>
      </w:r>
    </w:p>
    <w:bookmarkEnd w:id="535"/>
    <w:bookmarkStart w:id="536" w:name="protection-of-information-at-rest-sc-28"/>
    <w:p>
      <w:pPr>
        <w:pStyle w:val="Heading4"/>
      </w:pPr>
      <w:r>
        <w:t xml:space="preserve">Protection of information at rest (SC-28)</w:t>
      </w:r>
    </w:p>
    <w:p>
      <w:pPr>
        <w:pStyle w:val="Guidance"/>
      </w:pPr>
      <w:r>
        <w:t xml:space="preserve">Protect stored information on servers, in databases and storage services, in backups and on end-user devices. At Moderate and High, SC-28(1) makes the protection cryptographic.</w:t>
      </w:r>
    </w:p>
    <w:p>
      <w:pPr>
        <w:pStyle w:val="Compact"/>
        <w:numPr>
          <w:ilvl w:val="0"/>
          <w:numId w:val="1403"/>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w:t>
      </w:r>
      <w:r>
        <w:t xml:space="preserve"> </w:t>
      </w:r>
      <w:r>
        <w:rPr>
          <w:rStyle w:val="Fill-in"/>
        </w:rPr>
        <w:t xml:space="preserve">[Fill in: information at rest requiring protection. Typical: all information stored by the system, including backups]</w:t>
      </w:r>
      <w:r>
        <w:t xml:space="preserve">. (SC-28)</w:t>
      </w:r>
    </w:p>
    <w:bookmarkEnd w:id="536"/>
    <w:bookmarkStart w:id="537" w:name="cryptographic-protection-sc-281"/>
    <w:p>
      <w:pPr>
        <w:pStyle w:val="Heading4"/>
      </w:pPr>
      <w:r>
        <w:t xml:space="preserve">Cryptographic protection (SC-28(1))</w:t>
      </w:r>
    </w:p>
    <w:p>
      <w:pPr>
        <w:pStyle w:val="Guidance"/>
      </w:pPr>
      <w:r>
        <w:t xml:space="preserve">Encryption at rest protects against lost devices, stolen media and direct access to storage; it does not protect against someone who can sign in to the application. Keep keys apart from the data they protect.</w:t>
      </w:r>
    </w:p>
    <w:p>
      <w:pPr>
        <w:pStyle w:val="Compact"/>
        <w:numPr>
          <w:ilvl w:val="0"/>
          <w:numId w:val="1404"/>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information requiring cryptographic protection. Typical: all organizational information]</w:t>
      </w:r>
      <w:r>
        <w:t xml:space="preserve"> </w:t>
      </w:r>
      <w:r>
        <w:t xml:space="preserve">at rest on</w:t>
      </w:r>
      <w:r>
        <w:t xml:space="preserve"> </w:t>
      </w:r>
      <w:r>
        <w:rPr>
          <w:rStyle w:val="Fill-in"/>
        </w:rPr>
        <w:t xml:space="preserve">[Fill in: system components or media requiring cryptographic protection. Typical: servers, databases, storage services, backups, end-user devices and removable media]</w:t>
      </w:r>
      <w:r>
        <w:t xml:space="preserve">. (SC-28(1))</w:t>
      </w:r>
    </w:p>
    <w:bookmarkEnd w:id="537"/>
    <w:bookmarkStart w:id="538" w:name="process-isolation-sc-39"/>
    <w:p>
      <w:pPr>
        <w:pStyle w:val="Heading4"/>
      </w:pPr>
      <w:r>
        <w:t xml:space="preserve">Process isolation (SC-39)</w:t>
      </w:r>
    </w:p>
    <w:p>
      <w:pPr>
        <w:pStyle w:val="Guidance"/>
      </w:pPr>
      <w:r>
        <w:t xml:space="preserve">Modern operating systems, hypervisors and container platforms provide separate execution domains; this control is usually inherited. Confirm it for any component that does not, such as some embedded or legacy systems.</w:t>
      </w:r>
    </w:p>
    <w:p>
      <w:pPr>
        <w:pStyle w:val="Compact"/>
        <w:numPr>
          <w:ilvl w:val="0"/>
          <w:numId w:val="1405"/>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538"/>
    <w:bookmarkEnd w:id="539"/>
    <w:bookmarkStart w:id="579" w:name="system-and-information-integrity-si"/>
    <w:p>
      <w:pPr>
        <w:pStyle w:val="Heading3"/>
      </w:pPr>
      <w:r>
        <w:t xml:space="preserve">System and Information Integrity (SI)</w:t>
      </w:r>
    </w:p>
    <w:bookmarkStart w:id="541" w:name="flaw-remediation-si-2"/>
    <w:p>
      <w:pPr>
        <w:pStyle w:val="Heading4"/>
      </w:pPr>
      <w:r>
        <w:t xml:space="preserve">Flaw remediation (SI-2)</w:t>
      </w:r>
    </w:p>
    <w:p>
      <w:pPr>
        <w:pStyle w:val="Guidance"/>
      </w:pPr>
      <w:r>
        <w:t xml:space="preserve">SI-2 is the fixing half of vulnerability management: RA-5 finds the flaws, and SI-2 installs the updates that correct them. The installation times here count from the release of the update, while the RA-5 remediation times count from when a finding is reported, so keep the two sets of values consistent. The</w:t>
      </w:r>
      <w:r>
        <w:t xml:space="preserve"> </w:t>
      </w:r>
      <w:hyperlink r:id="rId498">
        <w:r>
          <w:rPr>
            <w:rStyle w:val="Hyperlink"/>
          </w:rPr>
          <w:t xml:space="preserve">Patch and Flaw Remediation Standard</w:t>
        </w:r>
      </w:hyperlink>
      <w:r>
        <w:t xml:space="preserve"> </w:t>
      </w:r>
      <w:r>
        <w:t xml:space="preserve">sets the test groups, deployment rings and schedules. NIST SP 800-40 Rev. 4, Guide to Enterprise Patch Management Planning (April 2022, current as of September 2026), describes how to plan patching as routine preventive maintenance.</w:t>
      </w:r>
    </w:p>
    <w:p>
      <w:pPr>
        <w:pStyle w:val="Compact"/>
        <w:numPr>
          <w:ilvl w:val="0"/>
          <w:numId w:val="1406"/>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406"/>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406"/>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406"/>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406"/>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406"/>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406"/>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p>
      <w:pPr>
        <w:pStyle w:val="Guidance"/>
      </w:pPr>
      <w:r>
        <w:t xml:space="preserve">Unsupported software and firmware cannot be fixed. Record each unsupported component as a flaw, with a replacement date in the plan of action and milestones, until it is removed (SA-22).</w:t>
      </w:r>
    </w:p>
    <w:bookmarkStart w:id="540" w:name="federal-systems-52"/>
    <w:p>
      <w:pPr>
        <w:pStyle w:val="Heading5"/>
      </w:pPr>
      <w:r>
        <w:t xml:space="preserve">Federal systems</w:t>
      </w:r>
    </w:p>
    <w:p>
      <w:pPr>
        <w:pStyle w:val="FirstParagraph"/>
      </w:pPr>
      <w:r>
        <w:t xml:space="preserve">CISA</w:t>
      </w:r>
      <w:r>
        <w:t xml:space="preserve"> </w:t>
      </w:r>
      <w:hyperlink r:id="rId452">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407"/>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540"/>
    <w:bookmarkEnd w:id="541"/>
    <w:bookmarkStart w:id="543" w:name="automated-flaw-remediation-status-si-22"/>
    <w:p>
      <w:pPr>
        <w:pStyle w:val="Heading4"/>
      </w:pPr>
      <w:r>
        <w:t xml:space="preserve">Automated flaw remediation status (SI-2(2))</w:t>
      </w:r>
    </w:p>
    <w:p>
      <w:pPr>
        <w:pStyle w:val="Guidance"/>
      </w:pPr>
      <w:r>
        <w:t xml:space="preserve">Patch compliance reports from the patch management tool, checked against authenticated vulnerability scans, show which components are missing updates. Components the tools cannot reach, such as appliances, need a manual check on the same schedule.</w:t>
      </w:r>
    </w:p>
    <w:p>
      <w:pPr>
        <w:pStyle w:val="Compact"/>
        <w:numPr>
          <w:ilvl w:val="0"/>
          <w:numId w:val="1408"/>
        </w:numPr>
      </w:pPr>
      <w:r>
        <w:t xml:space="preserve">The</w:t>
      </w:r>
      <w:r>
        <w:t xml:space="preserve"> </w:t>
      </w:r>
      <w:r>
        <w:rPr>
          <w:rStyle w:val="Fill-in"/>
        </w:rPr>
        <w:t xml:space="preserve">[System owner]</w:t>
      </w:r>
      <w:r>
        <w:t xml:space="preserve"> </w:t>
      </w:r>
      <w:r>
        <w:t xml:space="preserve">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bookmarkStart w:id="542" w:name="federal-systems-53"/>
    <w:p>
      <w:pPr>
        <w:pStyle w:val="Heading5"/>
      </w:pPr>
      <w:r>
        <w:t xml:space="preserve">Federal systems</w:t>
      </w:r>
    </w:p>
    <w:p>
      <w:pPr>
        <w:pStyle w:val="FirstParagraph"/>
      </w:pPr>
      <w:r>
        <w:t xml:space="preserve">CISA</w:t>
      </w:r>
      <w:r>
        <w:t xml:space="preserve"> </w:t>
      </w:r>
      <w:hyperlink r:id="rId453">
        <w:r>
          <w:rPr>
            <w:rStyle w:val="Hyperlink"/>
          </w:rPr>
          <w:t xml:space="preserve">BOD 23-01</w:t>
        </w:r>
      </w:hyperlink>
      <w:r>
        <w:t xml:space="preserve">, Improving Asset Visibility and Vulnerability Detection on Federal Networks (October 3, 2022), requires federal civilian agencies to perform automated asset discovery every 7 days and to initiate vulnerability enumeration across all discovered assets, including roaming devices such as laptops, every 14 days. As of September 2026.</w:t>
      </w:r>
    </w:p>
    <w:p>
      <w:pPr>
        <w:pStyle w:val="Compact"/>
        <w:numPr>
          <w:ilvl w:val="0"/>
          <w:numId w:val="1409"/>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(SI-2(2))</w:t>
      </w:r>
    </w:p>
    <w:bookmarkEnd w:id="542"/>
    <w:bookmarkEnd w:id="543"/>
    <w:bookmarkStart w:id="544" w:name="malicious-code-protection-si-3"/>
    <w:p>
      <w:pPr>
        <w:pStyle w:val="Heading4"/>
      </w:pPr>
      <w:r>
        <w:t xml:space="preserve">Malicious code protection (SI-3)</w:t>
      </w:r>
    </w:p>
    <w:p>
      <w:pPr>
        <w:pStyle w:val="Guidance"/>
      </w:pPr>
      <w:r>
        <w:t xml:space="preserve">Endpoint detection and response on servers and workstations, together with malware scanning in the email and web gateways, usually covers system entry and exit points. Non-signature-based means behavior or reputation analysis, which catches malware no signature yet describes. Enterprise tools are often common controls; the system owner makes sure every component that can run an agent has one.</w:t>
      </w:r>
    </w:p>
    <w:p>
      <w:pPr>
        <w:pStyle w:val="Compact"/>
        <w:numPr>
          <w:ilvl w:val="0"/>
          <w:numId w:val="1410"/>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410"/>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410"/>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410"/>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410"/>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410"/>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544"/>
    <w:bookmarkStart w:id="548" w:name="system-monitoring-si-4"/>
    <w:p>
      <w:pPr>
        <w:pStyle w:val="Heading4"/>
      </w:pPr>
      <w:r>
        <w:t xml:space="preserve">System monitoring (SI-4)</w:t>
      </w:r>
    </w:p>
    <w:p>
      <w:pPr>
        <w:pStyle w:val="Guidance"/>
      </w:pPr>
      <w:r>
        <w:t xml:space="preserve">System monitoring takes in the audit records reviewed under AU-6 and adds endpoint, network and cloud detection. The</w:t>
      </w:r>
      <w:r>
        <w:t xml:space="preserve"> </w:t>
      </w:r>
      <w:hyperlink r:id="rId545">
        <w:r>
          <w:rPr>
            <w:rStyle w:val="Hyperlink"/>
          </w:rPr>
          <w:t xml:space="preserve">System Monitoring Standard</w:t>
        </w:r>
      </w:hyperlink>
      <w:r>
        <w:t xml:space="preserve"> </w:t>
      </w:r>
      <w:r>
        <w:t xml:space="preserve">sets the log sources, detection coverage, alert handling and reporting. Legal review of monitoring (SI-4f) is usually done once for the organization’s monitoring program and repeated when monitoring changes, with a system use notification under AC-8.</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411"/>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411"/>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411"/>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411"/>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547" w:name="federal-systems-54"/>
    <w:p>
      <w:pPr>
        <w:pStyle w:val="Heading5"/>
      </w:pPr>
      <w:r>
        <w:t xml:space="preserve">Federal systems</w:t>
      </w:r>
    </w:p>
    <w:p>
      <w:pPr>
        <w:pStyle w:val="FirstParagraph"/>
      </w:pPr>
      <w:hyperlink r:id="rId113">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546">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412"/>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412"/>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412"/>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547"/>
    <w:bookmarkEnd w:id="548"/>
    <w:bookmarkStart w:id="549" w:name="X8a80baf582a49d4d9889c3faf8928af9376698f"/>
    <w:p>
      <w:pPr>
        <w:pStyle w:val="Heading4"/>
      </w:pPr>
      <w:r>
        <w:t xml:space="preserve">Automated tools and mechanisms for real-time analysis (SI-4(2))</w:t>
      </w:r>
    </w:p>
    <w:p>
      <w:pPr>
        <w:pStyle w:val="Guidance"/>
      </w:pPr>
      <w:r>
        <w:t xml:space="preserve">Correlation rules and analytics in the SIEM, and the detection engines in endpoint and network tools, are the automated tools. Near real-time means minutes, not the next day’s review.</w:t>
      </w:r>
    </w:p>
    <w:p>
      <w:pPr>
        <w:pStyle w:val="Compact"/>
        <w:numPr>
          <w:ilvl w:val="0"/>
          <w:numId w:val="1413"/>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bookmarkEnd w:id="549"/>
    <w:bookmarkStart w:id="550" w:name="X086976cc2050666cf15bad964011e507a1b4feb"/>
    <w:p>
      <w:pPr>
        <w:pStyle w:val="Heading4"/>
      </w:pPr>
      <w:r>
        <w:t xml:space="preserve">Inbound and outbound communications traffic (SI-4(4))</w:t>
      </w:r>
    </w:p>
    <w:p>
      <w:pPr>
        <w:pStyle w:val="Guidance"/>
      </w:pPr>
      <w:r>
        <w:t xml:space="preserve">Outbound monitoring is where data exfiltration and command-and-control traffic show up. Threat intelligence feeds supply the known malicious sources and destinations; a baseline of normal volumes supplies the unusual ones.</w:t>
      </w:r>
    </w:p>
    <w:p>
      <w:pPr>
        <w:pStyle w:val="Compact"/>
        <w:numPr>
          <w:ilvl w:val="0"/>
          <w:numId w:val="1414"/>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414"/>
        </w:numPr>
      </w:pPr>
      <w:r>
        <w:t xml:space="preserve">The</w:t>
      </w:r>
      <w:r>
        <w:t xml:space="preserve"> </w:t>
      </w:r>
      <w:r>
        <w:rPr>
          <w:rStyle w:val="Fill-in"/>
        </w:rPr>
        <w:t xml:space="preserve">[Security operations team]</w:t>
      </w:r>
      <w:r>
        <w:t xml:space="preserve"> </w:t>
      </w:r>
      <w:r>
        <w:t xml:space="preserve">shall monitor inbound communications traffic</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414"/>
        </w:numPr>
      </w:pPr>
      <w:r>
        <w:t xml:space="preserve">The</w:t>
      </w:r>
      <w:r>
        <w:t xml:space="preserve"> </w:t>
      </w:r>
      <w:r>
        <w:rPr>
          <w:rStyle w:val="Fill-in"/>
        </w:rPr>
        <w:t xml:space="preserve">[Security operations team]</w:t>
      </w:r>
      <w:r>
        <w:t xml:space="preserve"> </w:t>
      </w:r>
      <w:r>
        <w:t xml:space="preserve">shall monitor outbound communications traffic</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bookmarkEnd w:id="550"/>
    <w:bookmarkStart w:id="551" w:name="system-generated-alerts-si-45"/>
    <w:p>
      <w:pPr>
        <w:pStyle w:val="Heading4"/>
      </w:pPr>
      <w:r>
        <w:t xml:space="preserve">System-generated alerts (SI-4(5))</w:t>
      </w:r>
    </w:p>
    <w:p>
      <w:pPr>
        <w:pStyle w:val="Compact"/>
        <w:numPr>
          <w:ilvl w:val="0"/>
          <w:numId w:val="1415"/>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bookmarkEnd w:id="551"/>
    <w:bookmarkStart w:id="552" w:name="X9c137edcab08a9be4b1ceaf6227d36f194cb09d"/>
    <w:p>
      <w:pPr>
        <w:pStyle w:val="Heading4"/>
      </w:pPr>
      <w:r>
        <w:t xml:space="preserve">Visibility of encrypted communications (SI-4(10))</w:t>
      </w:r>
    </w:p>
    <w:p>
      <w:pPr>
        <w:pStyle w:val="Guidance"/>
      </w:pPr>
      <w:r>
        <w:t xml:space="preserve">Most traffic is encrypted, so monitoring tools see little unless it is decrypted at a proxy or gateway, or the tools read it at the endpoint. Decryption raises privacy and legal questions: decide the exempt categories with legal counsel and the senior privacy official, and protect the decryption keys under SC-12.</w:t>
      </w:r>
    </w:p>
    <w:p>
      <w:pPr>
        <w:pStyle w:val="Compact"/>
        <w:numPr>
          <w:ilvl w:val="0"/>
          <w:numId w:val="1416"/>
        </w:numPr>
      </w:pPr>
      <w:r>
        <w:t xml:space="preserve">The</w:t>
      </w:r>
      <w:r>
        <w:t xml:space="preserve"> </w:t>
      </w:r>
      <w:r>
        <w:rPr>
          <w:rStyle w:val="Fill-in"/>
        </w:rPr>
        <w:t xml:space="preserve">[System owner]</w:t>
      </w:r>
      <w:r>
        <w:t xml:space="preserve"> </w:t>
      </w:r>
      <w:r>
        <w:t xml:space="preserve">shall make provisions so that</w:t>
      </w:r>
      <w:r>
        <w:t xml:space="preserve"> </w:t>
      </w:r>
      <w:r>
        <w:rPr>
          <w:rStyle w:val="Fill-in"/>
        </w:rPr>
        <w:t xml:space="preserve">[Fill in: encrypted communications traffic to be made visible to system monitoring tools and mechanisms. Typical: encrypted traffic crossing the internet connection and the public-facing subnetwork, except categories exempted after legal and privacy review, such as health and financial sites]</w:t>
      </w:r>
      <w:r>
        <w:t xml:space="preserve"> </w:t>
      </w:r>
      <w:r>
        <w:t xml:space="preserve">is visible to</w:t>
      </w:r>
      <w:r>
        <w:t xml:space="preserve"> </w:t>
      </w:r>
      <w:r>
        <w:rPr>
          <w:rStyle w:val="Fill-in"/>
        </w:rPr>
        <w:t xml:space="preserve">[Fill in: system monitoring tools and mechanisms to be provided access to encrypted communications traffic. Typical: the intrusion detection and prevention systems and data loss prevention tools at the boundary]</w:t>
      </w:r>
      <w:r>
        <w:t xml:space="preserve">. (SI-4(10))</w:t>
      </w:r>
    </w:p>
    <w:bookmarkEnd w:id="552"/>
    <w:bookmarkStart w:id="553" w:name="X354d1c8e5138fd456cb34d9bd21eb5aefe63f64"/>
    <w:p>
      <w:pPr>
        <w:pStyle w:val="Heading4"/>
      </w:pPr>
      <w:r>
        <w:t xml:space="preserve">Automated organization-generated alerts (SI-4(12))</w:t>
      </w:r>
    </w:p>
    <w:p>
      <w:pPr>
        <w:pStyle w:val="Compact"/>
        <w:numPr>
          <w:ilvl w:val="0"/>
          <w:numId w:val="1417"/>
        </w:numPr>
      </w:pPr>
      <w:r>
        <w:t xml:space="preserve">The</w:t>
      </w:r>
      <w:r>
        <w:t xml:space="preserve"> </w:t>
      </w:r>
      <w:r>
        <w:rPr>
          <w:rStyle w:val="Fill-in"/>
        </w:rPr>
        <w:t xml:space="preserve">[Security operations team]</w:t>
      </w:r>
      <w:r>
        <w:t xml:space="preserve"> </w:t>
      </w:r>
      <w:r>
        <w:t xml:space="preserve">shall alert</w:t>
      </w:r>
      <w:r>
        <w:t xml:space="preserve"> </w:t>
      </w:r>
      <w:r>
        <w:rPr>
          <w:rStyle w:val="Fill-in"/>
        </w:rPr>
        <w:t xml:space="preserve">[Fill in: personnel or roles to be alerted when indications of inappropriate or unusual activity with security or privacy implications occur. Typical: the security operations team and the system owner]</w:t>
      </w:r>
      <w:r>
        <w:t xml:space="preserve"> </w:t>
      </w:r>
      <w:r>
        <w:t xml:space="preserve">using</w:t>
      </w:r>
      <w:r>
        <w:t xml:space="preserve"> </w:t>
      </w:r>
      <w:r>
        <w:rPr>
          <w:rStyle w:val="Fill-in"/>
        </w:rPr>
        <w:t xml:space="preserve">[Fill in: automated mechanisms used to alert personnel or roles. Typical: the security information and event management (SIEM) platform]</w:t>
      </w:r>
      <w:r>
        <w:t xml:space="preserve"> </w:t>
      </w:r>
      <w:r>
        <w:t xml:space="preserve">when the following indications of inappropriate or unusual activities with security or privacy implications occur:</w:t>
      </w:r>
      <w:r>
        <w:t xml:space="preserve"> </w:t>
      </w:r>
      <w:r>
        <w:rPr>
          <w:rStyle w:val="Fill-in"/>
        </w:rPr>
        <w:t xml:space="preserve">[Fill in: activities that trigger alerts to personnel or. Typical: use of privileged accounts outside approved change windows, bulk downloads or exports of sensitive information, disabled security tools, and new administrative accounts]</w:t>
      </w:r>
      <w:r>
        <w:t xml:space="preserve">. (SI-4(12))</w:t>
      </w:r>
    </w:p>
    <w:bookmarkEnd w:id="553"/>
    <w:bookmarkStart w:id="554" w:name="wireless-intrusion-detection-si-414"/>
    <w:p>
      <w:pPr>
        <w:pStyle w:val="Heading4"/>
      </w:pPr>
      <w:r>
        <w:t xml:space="preserve">Wireless intrusion detection (SI-4(14))</w:t>
      </w:r>
    </w:p>
    <w:p>
      <w:pPr>
        <w:pStyle w:val="Guidance"/>
      </w:pPr>
      <w:r>
        <w:t xml:space="preserve">A wireless intrusion detection system covers the facilities where the system’s components are located, including those with no approved wireless network, since rogue access points are the main concern there.</w:t>
      </w:r>
    </w:p>
    <w:p>
      <w:pPr>
        <w:pStyle w:val="Compact"/>
        <w:numPr>
          <w:ilvl w:val="0"/>
          <w:numId w:val="1418"/>
        </w:numPr>
      </w:pPr>
      <w:r>
        <w:t xml:space="preserve">The</w:t>
      </w:r>
      <w:r>
        <w:t xml:space="preserve"> </w:t>
      </w:r>
      <w:r>
        <w:rPr>
          <w:rStyle w:val="Fill-in"/>
        </w:rPr>
        <w:t xml:space="preserve">[System owner]</w:t>
      </w:r>
      <w:r>
        <w:t xml:space="preserve"> </w:t>
      </w:r>
      <w:r>
        <w:t xml:space="preserve">shall employ a wireless intrusion detection system to identify rogue wireless devices and to detect attack attempts and potential compromises or breaches to the system. (SI-4(14))</w:t>
      </w:r>
    </w:p>
    <w:bookmarkEnd w:id="554"/>
    <w:bookmarkStart w:id="555" w:name="privileged-users-si-420"/>
    <w:p>
      <w:pPr>
        <w:pStyle w:val="Heading4"/>
      </w:pPr>
      <w:r>
        <w:t xml:space="preserve">Privileged users (SI-4(20))</w:t>
      </w:r>
    </w:p>
    <w:p>
      <w:pPr>
        <w:pStyle w:val="Compact"/>
        <w:numPr>
          <w:ilvl w:val="0"/>
          <w:numId w:val="1419"/>
        </w:numPr>
      </w:pPr>
      <w:r>
        <w:t xml:space="preserve">The</w:t>
      </w:r>
      <w:r>
        <w:t xml:space="preserve"> </w:t>
      </w:r>
      <w:r>
        <w:rPr>
          <w:rStyle w:val="Fill-in"/>
        </w:rPr>
        <w:t xml:space="preserve">[Security operations team]</w:t>
      </w:r>
      <w:r>
        <w:t xml:space="preserve"> </w:t>
      </w:r>
      <w:r>
        <w:t xml:space="preserve">shall implement the following additional monitoring of privileged users:</w:t>
      </w:r>
      <w:r>
        <w:t xml:space="preserve"> </w:t>
      </w:r>
      <w:r>
        <w:rPr>
          <w:rStyle w:val="Fill-in"/>
        </w:rPr>
        <w:t xml:space="preserve">[Fill in: additional monitoring of privileged users. Typical: recording of privileged sessions, alerts on high-risk privileged commands, and a review of privileged activity at least weekly]</w:t>
      </w:r>
      <w:r>
        <w:t xml:space="preserve">. (SI-4(20))</w:t>
      </w:r>
    </w:p>
    <w:bookmarkEnd w:id="555"/>
    <w:bookmarkStart w:id="556" w:name="unauthorized-network-services-si-422"/>
    <w:p>
      <w:pPr>
        <w:pStyle w:val="Heading4"/>
      </w:pPr>
      <w:r>
        <w:t xml:space="preserve">Unauthorized network services (SI-4(22))</w:t>
      </w:r>
    </w:p>
    <w:p>
      <w:pPr>
        <w:pStyle w:val="Compact"/>
        <w:numPr>
          <w:ilvl w:val="0"/>
          <w:numId w:val="1420"/>
        </w:numPr>
      </w:pPr>
      <w:r>
        <w:t xml:space="preserve">The</w:t>
      </w:r>
      <w:r>
        <w:t xml:space="preserve"> </w:t>
      </w:r>
      <w:r>
        <w:rPr>
          <w:rStyle w:val="Fill-in"/>
        </w:rPr>
        <w:t xml:space="preserve">[Security operations team]</w:t>
      </w:r>
      <w:r>
        <w:t xml:space="preserve"> </w:t>
      </w:r>
      <w:r>
        <w:t xml:space="preserve">shall detect network services that have not been authorized or approved by</w:t>
      </w:r>
      <w:r>
        <w:t xml:space="preserve"> </w:t>
      </w:r>
      <w:r>
        <w:rPr>
          <w:rStyle w:val="Fill-in"/>
        </w:rPr>
        <w:t xml:space="preserve">[Fill in: authorization or approval processes for network services. Typical: the change control process and the approved ports, protocols and services list]</w:t>
      </w:r>
      <w:r>
        <w:t xml:space="preserve">. (SI-4(22)(a))</w:t>
      </w:r>
    </w:p>
    <w:p>
      <w:pPr>
        <w:pStyle w:val="Compact"/>
        <w:numPr>
          <w:ilvl w:val="0"/>
          <w:numId w:val="1420"/>
        </w:numPr>
      </w:pPr>
      <w:r>
        <w:t xml:space="preserve">When unauthorized network services are detected, the</w:t>
      </w:r>
      <w:r>
        <w:t xml:space="preserve"> </w:t>
      </w:r>
      <w:r>
        <w:rPr>
          <w:rStyle w:val="Fill-in"/>
        </w:rPr>
        <w:t xml:space="preserve">[Security operations team]</w:t>
      </w:r>
      <w:r>
        <w:t xml:space="preserve"> </w:t>
      </w:r>
      <w:r>
        <w:t xml:space="preserve">shall</w:t>
      </w:r>
      <w:r>
        <w:t xml:space="preserve"> </w:t>
      </w:r>
      <w:r>
        <w:rPr>
          <w:rStyle w:val="Fill-in"/>
        </w:rPr>
        <w:t xml:space="preserve">[Select one or more: audit; alert [Assignment: organization-defined personnel or roles]. Typical: audit, and alert the security operations team and the system owner]</w:t>
      </w:r>
      <w:r>
        <w:t xml:space="preserve">. (SI-4(22)(b))</w:t>
      </w:r>
    </w:p>
    <w:bookmarkEnd w:id="556"/>
    <w:bookmarkStart w:id="559" w:name="X422471707f2a2f35375441b905309c1357cbe46"/>
    <w:p>
      <w:pPr>
        <w:pStyle w:val="Heading4"/>
      </w:pPr>
      <w:r>
        <w:t xml:space="preserve">Security alerts, advisories and directives (SI-5)</w:t>
      </w:r>
    </w:p>
    <w:p>
      <w:pPr>
        <w:pStyle w:val="Guidance"/>
      </w:pPr>
      <w:r>
        <w:t xml:space="preserve">Subscribing to the CISA advisories and the vendor security bulletins for every product in the component inventory (CM-8) is the usual starting point. The value is in routing: each alert reaches the people who run the affected component, with a due date.</w:t>
      </w:r>
    </w:p>
    <w:p>
      <w:pPr>
        <w:pStyle w:val="Compact"/>
        <w:numPr>
          <w:ilvl w:val="0"/>
          <w:numId w:val="1421"/>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421"/>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421"/>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421"/>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558" w:name="federal-systems-55"/>
    <w:p>
      <w:pPr>
        <w:pStyle w:val="Heading5"/>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76">
        <w:r>
          <w:rPr>
            <w:rStyle w:val="Hyperlink"/>
          </w:rPr>
          <w:t xml:space="preserve">44 U.S.C. § 3554(a)(1)(B)(ii) and (v)</w:t>
        </w:r>
      </w:hyperlink>
      <w:r>
        <w:t xml:space="preserve">). CISA publishes them on its</w:t>
      </w:r>
      <w:r>
        <w:t xml:space="preserve"> </w:t>
      </w:r>
      <w:hyperlink r:id="rId557">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422"/>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558"/>
    <w:bookmarkEnd w:id="559"/>
    <w:bookmarkStart w:id="560" w:name="automated-alerts-and-advisories-si-51"/>
    <w:p>
      <w:pPr>
        <w:pStyle w:val="Heading4"/>
      </w:pPr>
      <w:r>
        <w:t xml:space="preserve">Automated alerts and advisories (SI-5(1))</w:t>
      </w:r>
    </w:p>
    <w:p>
      <w:pPr>
        <w:pStyle w:val="Compact"/>
        <w:numPr>
          <w:ilvl w:val="0"/>
          <w:numId w:val="1423"/>
        </w:numPr>
      </w:pPr>
      <w:r>
        <w:t xml:space="preserve">The</w:t>
      </w:r>
      <w:r>
        <w:t xml:space="preserve"> </w:t>
      </w:r>
      <w:r>
        <w:rPr>
          <w:rStyle w:val="Fill-in"/>
        </w:rPr>
        <w:t xml:space="preserve">[Security operations team]</w:t>
      </w:r>
      <w:r>
        <w:t xml:space="preserve"> </w:t>
      </w:r>
      <w:r>
        <w:t xml:space="preserve">shall broadcast security alert and advisory information throughout the organization using</w:t>
      </w:r>
      <w:r>
        <w:t xml:space="preserve"> </w:t>
      </w:r>
      <w:r>
        <w:rPr>
          <w:rStyle w:val="Fill-in"/>
        </w:rPr>
        <w:t xml:space="preserve">[Fill in: automated mechanisms used to broadcast security alert and advisory information throughout the organization. Typical: the ticketing system, which assigns each alert to the owners of the affected components, and the security team’s distribution lists]</w:t>
      </w:r>
      <w:r>
        <w:t xml:space="preserve">. (SI-5(1))</w:t>
      </w:r>
    </w:p>
    <w:bookmarkEnd w:id="560"/>
    <w:bookmarkStart w:id="561" w:name="X5f7b03126b2e6361387e0362f91112c5f7be0ca"/>
    <w:p>
      <w:pPr>
        <w:pStyle w:val="Heading4"/>
      </w:pPr>
      <w:r>
        <w:t xml:space="preserve">Security and privacy function verification (SI-6)</w:t>
      </w:r>
    </w:p>
    <w:p>
      <w:pPr>
        <w:pStyle w:val="Guidance"/>
      </w:pPr>
      <w:r>
        <w:t xml:space="preserve">Verification can be built-in self-tests, configuration compliance checks that confirm security settings are still in force, or scripted tests that attempt a blocked action and confirm it fails. Shutting a system down on every failed test is rarely acceptable, so most organizations choose an alternative action.</w:t>
      </w:r>
    </w:p>
    <w:p>
      <w:pPr>
        <w:pStyle w:val="Compact"/>
        <w:numPr>
          <w:ilvl w:val="0"/>
          <w:numId w:val="1424"/>
        </w:numPr>
      </w:pPr>
      <w:r>
        <w:t xml:space="preserve">The</w:t>
      </w:r>
      <w:r>
        <w:t xml:space="preserve"> </w:t>
      </w:r>
      <w:r>
        <w:rPr>
          <w:rStyle w:val="Fill-in"/>
        </w:rPr>
        <w:t xml:space="preserve">[System owner]</w:t>
      </w:r>
      <w:r>
        <w:t xml:space="preserve"> </w:t>
      </w:r>
      <w:r>
        <w:t xml:space="preserve">shall verify the correct operation of the following security functions:</w:t>
      </w:r>
      <w:r>
        <w:t xml:space="preserve"> </w:t>
      </w:r>
      <w:r>
        <w:rPr>
          <w:rStyle w:val="Fill-in"/>
        </w:rPr>
        <w:t xml:space="preserve">[Fill in: security functions to be verified for correct operation. Typical: access enforcement, authentication, audit logging, encryption and malicious code protection]</w:t>
      </w:r>
      <w:r>
        <w:t xml:space="preserve">. (SI-6a)</w:t>
      </w:r>
    </w:p>
    <w:p>
      <w:pPr>
        <w:pStyle w:val="Compact"/>
        <w:numPr>
          <w:ilvl w:val="0"/>
          <w:numId w:val="1424"/>
        </w:numPr>
      </w:pPr>
      <w:r>
        <w:t xml:space="preserve">The</w:t>
      </w:r>
      <w:r>
        <w:t xml:space="preserve"> </w:t>
      </w:r>
      <w:r>
        <w:rPr>
          <w:rStyle w:val="Fill-in"/>
        </w:rPr>
        <w:t xml:space="preserve">[System owner]</w:t>
      </w:r>
      <w:r>
        <w:t xml:space="preserve"> </w:t>
      </w:r>
      <w:r>
        <w:t xml:space="preserve">shall verify the correct operation of the following privacy functions:</w:t>
      </w:r>
      <w:r>
        <w:t xml:space="preserve"> </w:t>
      </w:r>
      <w:r>
        <w:rPr>
          <w:rStyle w:val="Fill-in"/>
        </w:rPr>
        <w:t xml:space="preserve">[Fill in: privacy functions to be verified for correct operation. Typical: consent recording, de-identification and the scheduled deletion of personally identifiable information]</w:t>
      </w:r>
      <w:r>
        <w:t xml:space="preserve">. (SI-6a)</w:t>
      </w:r>
    </w:p>
    <w:p>
      <w:pPr>
        <w:pStyle w:val="Compact"/>
        <w:numPr>
          <w:ilvl w:val="0"/>
          <w:numId w:val="1424"/>
        </w:numPr>
      </w:pPr>
      <w:r>
        <w:t xml:space="preserve">The</w:t>
      </w:r>
      <w:r>
        <w:t xml:space="preserve"> </w:t>
      </w:r>
      <w:r>
        <w:rPr>
          <w:rStyle w:val="Fill-in"/>
        </w:rPr>
        <w:t xml:space="preserve">[System owner]</w:t>
      </w:r>
      <w:r>
        <w:t xml:space="preserve"> </w:t>
      </w:r>
      <w:r>
        <w:t xml:space="preserve">shall perform the verification</w:t>
      </w:r>
      <w:r>
        <w:t xml:space="preserve"> </w:t>
      </w:r>
      <w:r>
        <w:rPr>
          <w:rStyle w:val="Fill-in"/>
        </w:rPr>
        <w:t xml:space="preserve">[Select one or more: [Assignment: organization-defined system transitional states]; upon command by user with appropriate privilege; [Assignment: organization-defined frequency]. Typical: at system startup and restart, upon command by a user with appropriate privilege, and at least monthly]</w:t>
      </w:r>
      <w:r>
        <w:t xml:space="preserve">. (SI-6b)</w:t>
      </w:r>
    </w:p>
    <w:p>
      <w:pPr>
        <w:pStyle w:val="Compact"/>
        <w:numPr>
          <w:ilvl w:val="0"/>
          <w:numId w:val="1424"/>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of failed security and privacy verification tests. Typical: the system owner and the security operations team]</w:t>
      </w:r>
      <w:r>
        <w:t xml:space="preserve"> </w:t>
      </w:r>
      <w:r>
        <w:t xml:space="preserve">are alerted to failed security and privacy verification tests. (SI-6c)</w:t>
      </w:r>
    </w:p>
    <w:p>
      <w:pPr>
        <w:pStyle w:val="Compact"/>
        <w:numPr>
          <w:ilvl w:val="0"/>
          <w:numId w:val="1424"/>
        </w:numPr>
      </w:pPr>
      <w:r>
        <w:t xml:space="preserve">When anomalies are discovered, the</w:t>
      </w:r>
      <w:r>
        <w:t xml:space="preserve"> </w:t>
      </w:r>
      <w:r>
        <w:rPr>
          <w:rStyle w:val="Fill-in"/>
        </w:rPr>
        <w:t xml:space="preserve">[System owner]</w:t>
      </w:r>
      <w:r>
        <w:t xml:space="preserve"> </w:t>
      </w:r>
      <w:r>
        <w:t xml:space="preserve">shall</w:t>
      </w:r>
      <w:r>
        <w:t xml:space="preserve"> </w:t>
      </w:r>
      <w:r>
        <w:rPr>
          <w:rStyle w:val="Fill-in"/>
        </w:rPr>
        <w:t xml:space="preserve">[Select one or more: shut the system down; restart the system; [Assignment: organization-defined alternative action(s)]. Typical: isolate the affected component and open an incident]</w:t>
      </w:r>
      <w:r>
        <w:t xml:space="preserve">. (SI-6d)</w:t>
      </w:r>
    </w:p>
    <w:bookmarkEnd w:id="561"/>
    <w:bookmarkStart w:id="562" w:name="X95965c3e89e2825030f93836cb8588d2d9c6c61"/>
    <w:p>
      <w:pPr>
        <w:pStyle w:val="Heading4"/>
      </w:pPr>
      <w:r>
        <w:t xml:space="preserve">Software, firmware and information integrity (SI-7)</w:t>
      </w:r>
    </w:p>
    <w:p>
      <w:pPr>
        <w:pStyle w:val="Guidance"/>
      </w:pPr>
      <w:r>
        <w:t xml:space="preserve">File integrity monitoring, signed and verified container images, secure boot and measured boot are the usual integrity verification tools. Changes approved under CM-3 are expected; integrity verification finds the ones that were not.</w:t>
      </w:r>
    </w:p>
    <w:p>
      <w:pPr>
        <w:pStyle w:val="Compact"/>
        <w:numPr>
          <w:ilvl w:val="0"/>
          <w:numId w:val="1425"/>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software:</w:t>
      </w:r>
      <w:r>
        <w:t xml:space="preserve"> </w:t>
      </w:r>
      <w:r>
        <w:rPr>
          <w:rStyle w:val="Fill-in"/>
        </w:rPr>
        <w:t xml:space="preserve">[Fill in: software requiring integrity verification tools to be employed to detect unauthorized changes. Typical: operating system files, installed applications, container images and security tool binaries]</w:t>
      </w:r>
      <w:r>
        <w:t xml:space="preserve">. (SI-7a)</w:t>
      </w:r>
    </w:p>
    <w:p>
      <w:pPr>
        <w:pStyle w:val="Compact"/>
        <w:numPr>
          <w:ilvl w:val="0"/>
          <w:numId w:val="1425"/>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firmware:</w:t>
      </w:r>
      <w:r>
        <w:t xml:space="preserve"> </w:t>
      </w:r>
      <w:r>
        <w:rPr>
          <w:rStyle w:val="Fill-in"/>
        </w:rPr>
        <w:t xml:space="preserve">[Fill in: firmware requiring integrity verification tools to be employed to detect unauthorized changes. Typical: server, network device and endpoint firmware and boot components, where the platform supports verification]</w:t>
      </w:r>
      <w:r>
        <w:t xml:space="preserve">. (SI-7a)</w:t>
      </w:r>
    </w:p>
    <w:p>
      <w:pPr>
        <w:pStyle w:val="Compact"/>
        <w:numPr>
          <w:ilvl w:val="0"/>
          <w:numId w:val="1425"/>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information:</w:t>
      </w:r>
      <w:r>
        <w:t xml:space="preserve"> </w:t>
      </w:r>
      <w:r>
        <w:rPr>
          <w:rStyle w:val="Fill-in"/>
        </w:rPr>
        <w:t xml:space="preserve">[Fill in: information requiring integrity verification tools to be employed to detect unauthorized changes. Typical: security configuration files, audit logs, and the critical data stores named in the system security plan]</w:t>
      </w:r>
      <w:r>
        <w:t xml:space="preserve">. (SI-7a)</w:t>
      </w:r>
    </w:p>
    <w:p>
      <w:pPr>
        <w:pStyle w:val="Compact"/>
        <w:numPr>
          <w:ilvl w:val="0"/>
          <w:numId w:val="1425"/>
        </w:numPr>
      </w:pPr>
      <w:r>
        <w:t xml:space="preserve">When unauthorized changes to software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software are detected. Typical: alert the security operations team, restore the approved version, and handle an unauthorized change as a suspected incident]</w:t>
      </w:r>
      <w:r>
        <w:t xml:space="preserve">. (SI-7b)</w:t>
      </w:r>
    </w:p>
    <w:p>
      <w:pPr>
        <w:pStyle w:val="Compact"/>
        <w:numPr>
          <w:ilvl w:val="0"/>
          <w:numId w:val="1425"/>
        </w:numPr>
      </w:pPr>
      <w:r>
        <w:t xml:space="preserve">When unauthorized changes to firmware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firmware are detected. Typical: alert the security operations team, restore the approved firmware, and handle an unauthorized change as a suspected incident]</w:t>
      </w:r>
      <w:r>
        <w:t xml:space="preserve">. (SI-7b)</w:t>
      </w:r>
    </w:p>
    <w:p>
      <w:pPr>
        <w:pStyle w:val="Compact"/>
        <w:numPr>
          <w:ilvl w:val="0"/>
          <w:numId w:val="1425"/>
        </w:numPr>
      </w:pPr>
      <w:r>
        <w:t xml:space="preserve">When unauthorized changes to information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information are detected. Typical: alert the security operations team and the information owner, restore the information from a trusted source or backup, and handle an unauthorized change as a suspected incident]</w:t>
      </w:r>
      <w:r>
        <w:t xml:space="preserve">. (SI-7b)</w:t>
      </w:r>
    </w:p>
    <w:bookmarkEnd w:id="562"/>
    <w:bookmarkStart w:id="563" w:name="integrity-checks-si-71"/>
    <w:p>
      <w:pPr>
        <w:pStyle w:val="Heading4"/>
      </w:pPr>
      <w:r>
        <w:t xml:space="preserve">Integrity checks (SI-7(1))</w:t>
      </w:r>
    </w:p>
    <w:p>
      <w:pPr>
        <w:pStyle w:val="Compact"/>
        <w:numPr>
          <w:ilvl w:val="0"/>
          <w:numId w:val="1426"/>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software on which an integrity check is to be performed. Typical: the software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update or change to the software, and at least weekly]</w:t>
      </w:r>
      <w:r>
        <w:t xml:space="preserve">. (SI-7(1))</w:t>
      </w:r>
    </w:p>
    <w:p>
      <w:pPr>
        <w:pStyle w:val="Compact"/>
        <w:numPr>
          <w:ilvl w:val="0"/>
          <w:numId w:val="1426"/>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firmware on which an integrity check is to be performed. Typical: the firmware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firmware update, and at least monthly]</w:t>
      </w:r>
      <w:r>
        <w:t xml:space="preserve">. (SI-7(1))</w:t>
      </w:r>
    </w:p>
    <w:p>
      <w:pPr>
        <w:pStyle w:val="Compact"/>
        <w:numPr>
          <w:ilvl w:val="0"/>
          <w:numId w:val="1426"/>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information on which an integrity check is to be performed. Typical: the information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after each authorized change to the information, and at least daily]</w:t>
      </w:r>
      <w:r>
        <w:t xml:space="preserve">. (SI-7(1))</w:t>
      </w:r>
    </w:p>
    <w:bookmarkEnd w:id="563"/>
    <w:bookmarkStart w:id="564" w:name="X7ecb6bc8562e06bb20c9ea1ee9e551e6c4147f4"/>
    <w:p>
      <w:pPr>
        <w:pStyle w:val="Heading4"/>
      </w:pPr>
      <w:r>
        <w:t xml:space="preserve">Automated notifications of integrity violations (SI-7(2))</w:t>
      </w:r>
    </w:p>
    <w:p>
      <w:pPr>
        <w:pStyle w:val="Compact"/>
        <w:numPr>
          <w:ilvl w:val="0"/>
          <w:numId w:val="1427"/>
        </w:numPr>
      </w:pPr>
      <w:r>
        <w:t xml:space="preserve">The</w:t>
      </w:r>
      <w:r>
        <w:t xml:space="preserve"> </w:t>
      </w:r>
      <w:r>
        <w:rPr>
          <w:rStyle w:val="Fill-in"/>
        </w:rPr>
        <w:t xml:space="preserve">[System owner]</w:t>
      </w:r>
      <w:r>
        <w:t xml:space="preserve"> </w:t>
      </w:r>
      <w:r>
        <w:t xml:space="preserve">shall employ automated tools that notify</w:t>
      </w:r>
      <w:r>
        <w:t xml:space="preserve"> </w:t>
      </w:r>
      <w:r>
        <w:rPr>
          <w:rStyle w:val="Fill-in"/>
        </w:rPr>
        <w:t xml:space="preserve">[Fill in: personnel or roles to whom notification is to be provided upon discovering discrepancies during integrity verification. Typical: the security operations team and the system owner]</w:t>
      </w:r>
      <w:r>
        <w:t xml:space="preserve"> </w:t>
      </w:r>
      <w:r>
        <w:t xml:space="preserve">upon discovering discrepancies during integrity verification. (SI-7(2))</w:t>
      </w:r>
    </w:p>
    <w:bookmarkEnd w:id="564"/>
    <w:bookmarkStart w:id="565" w:name="Xeac1713e4145a6c1b01f9eb3f9d613bc5be49b4"/>
    <w:p>
      <w:pPr>
        <w:pStyle w:val="Heading4"/>
      </w:pPr>
      <w:r>
        <w:t xml:space="preserve">Automated response to integrity violations (SI-7(5))</w:t>
      </w:r>
    </w:p>
    <w:p>
      <w:pPr>
        <w:pStyle w:val="Compact"/>
        <w:numPr>
          <w:ilvl w:val="0"/>
          <w:numId w:val="1428"/>
        </w:numPr>
      </w:pPr>
      <w:r>
        <w:t xml:space="preserve">When integrity violations are discovered, the</w:t>
      </w:r>
      <w:r>
        <w:t xml:space="preserve"> </w:t>
      </w:r>
      <w:r>
        <w:rPr>
          <w:rStyle w:val="Fill-in"/>
        </w:rPr>
        <w:t xml:space="preserve">[System owner]</w:t>
      </w:r>
      <w:r>
        <w:t xml:space="preserve"> </w:t>
      </w:r>
      <w:r>
        <w:t xml:space="preserve">shall ensure the system automatically takes the following action:</w:t>
      </w:r>
      <w:r>
        <w:t xml:space="preserve"> </w:t>
      </w:r>
      <w:r>
        <w:rPr>
          <w:rStyle w:val="Fill-in"/>
        </w:rPr>
        <w:t xml:space="preserve">[Select one or more: shut down the system; restart the system; implement [Assignment: organization-defined controls]. Typical: implement controls: block the changed component from running, isolate the affected host, and restore the approved version]</w:t>
      </w:r>
      <w:r>
        <w:t xml:space="preserve">. (SI-7(5))</w:t>
      </w:r>
    </w:p>
    <w:bookmarkEnd w:id="565"/>
    <w:bookmarkStart w:id="566" w:name="X2f1cd96a2cb86d3905abc869a6e0db23cd2262c"/>
    <w:p>
      <w:pPr>
        <w:pStyle w:val="Heading4"/>
      </w:pPr>
      <w:r>
        <w:t xml:space="preserve">Integration of detection and response (SI-7(7))</w:t>
      </w:r>
    </w:p>
    <w:p>
      <w:pPr>
        <w:pStyle w:val="Compact"/>
        <w:numPr>
          <w:ilvl w:val="0"/>
          <w:numId w:val="1429"/>
        </w:numPr>
      </w:pPr>
      <w:r>
        <w:t xml:space="preserve">The</w:t>
      </w:r>
      <w:r>
        <w:t xml:space="preserve"> </w:t>
      </w:r>
      <w:r>
        <w:rPr>
          <w:rStyle w:val="Fill-in"/>
        </w:rPr>
        <w:t xml:space="preserve">[System owner]</w:t>
      </w:r>
      <w:r>
        <w:t xml:space="preserve"> </w:t>
      </w:r>
      <w:r>
        <w:t xml:space="preserve">shall incorporate the detection of the following unauthorized changes into the organization’s incident response capability:</w:t>
      </w:r>
      <w:r>
        <w:t xml:space="preserve"> </w:t>
      </w:r>
      <w:r>
        <w:rPr>
          <w:rStyle w:val="Fill-in"/>
        </w:rPr>
        <w:t xml:space="preserve">[Fill in: security-relevant changes to the system. Typical: unauthorized changes to operating system and application files, security configuration settings, firmware and audit logging settings]</w:t>
      </w:r>
      <w:r>
        <w:t xml:space="preserve">. (SI-7(7))</w:t>
      </w:r>
    </w:p>
    <w:bookmarkEnd w:id="566"/>
    <w:bookmarkStart w:id="567" w:name="code-authentication-si-715"/>
    <w:p>
      <w:pPr>
        <w:pStyle w:val="Heading4"/>
      </w:pPr>
      <w:r>
        <w:t xml:space="preserve">Code authentication (SI-7(15))</w:t>
      </w:r>
    </w:p>
    <w:p>
      <w:pPr>
        <w:pStyle w:val="Guidance"/>
      </w:pPr>
      <w:r>
        <w:t xml:space="preserve">Code signing verified by the operating system, package manager or container admission controller is the usual mechanism. Keep the list of trusted signers short, and treat an unsigned or wrongly signed component as a failed installation.</w:t>
      </w:r>
    </w:p>
    <w:p>
      <w:pPr>
        <w:pStyle w:val="Compact"/>
        <w:numPr>
          <w:ilvl w:val="0"/>
          <w:numId w:val="1430"/>
        </w:numPr>
      </w:pPr>
      <w:r>
        <w:t xml:space="preserve">The</w:t>
      </w:r>
      <w:r>
        <w:t xml:space="preserve"> </w:t>
      </w:r>
      <w:r>
        <w:rPr>
          <w:rStyle w:val="Fill-in"/>
        </w:rPr>
        <w:t xml:space="preserve">[System owner]</w:t>
      </w:r>
      <w:r>
        <w:t xml:space="preserve"> </w:t>
      </w:r>
      <w:r>
        <w:t xml:space="preserve">shall implement cryptographic mechanisms to authenticate the following software and firmware components before installation:</w:t>
      </w:r>
      <w:r>
        <w:t xml:space="preserve"> </w:t>
      </w:r>
      <w:r>
        <w:rPr>
          <w:rStyle w:val="Fill-in"/>
        </w:rPr>
        <w:t xml:space="preserve">[Fill in: software or firmware components to be authenticated by cryptographic mechanisms prior to installation. Typical: operating system and application updates, firmware updates, drivers and container images]</w:t>
      </w:r>
      <w:r>
        <w:t xml:space="preserve">. (SI-7(15))</w:t>
      </w:r>
    </w:p>
    <w:bookmarkEnd w:id="567"/>
    <w:bookmarkStart w:id="569" w:name="spam-protection-si-8"/>
    <w:p>
      <w:pPr>
        <w:pStyle w:val="Heading4"/>
      </w:pPr>
      <w:r>
        <w:t xml:space="preserve">Spam protection (SI-8)</w:t>
      </w:r>
    </w:p>
    <w:p>
      <w:pPr>
        <w:pStyle w:val="Guidance"/>
      </w:pPr>
      <w:r>
        <w:t xml:space="preserve">Spam protection sits in the email gateway or the cloud email service’s filtering, and in some cases in web or messaging gateways. Publishing SPF, DKIM and DMARC records for the organization’s own domains helps other organizations reject mail that spoofs them.</w:t>
      </w:r>
    </w:p>
    <w:p>
      <w:pPr>
        <w:pStyle w:val="Compact"/>
        <w:numPr>
          <w:ilvl w:val="0"/>
          <w:numId w:val="1431"/>
        </w:numPr>
      </w:pPr>
      <w:r>
        <w:t xml:space="preserve">The</w:t>
      </w:r>
      <w:r>
        <w:t xml:space="preserve"> </w:t>
      </w:r>
      <w:r>
        <w:rPr>
          <w:rStyle w:val="Fill-in"/>
        </w:rPr>
        <w:t xml:space="preserve">[System owner]</w:t>
      </w:r>
      <w:r>
        <w:t xml:space="preserve"> </w:t>
      </w:r>
      <w:r>
        <w:t xml:space="preserve">shall employ spam protection mechanisms at system entry and exit points to detect and act on unsolicited messages. (SI-8a)</w:t>
      </w:r>
    </w:p>
    <w:p>
      <w:pPr>
        <w:pStyle w:val="Compact"/>
        <w:numPr>
          <w:ilvl w:val="0"/>
          <w:numId w:val="1431"/>
        </w:numPr>
      </w:pPr>
      <w:r>
        <w:t xml:space="preserve">The</w:t>
      </w:r>
      <w:r>
        <w:t xml:space="preserve"> </w:t>
      </w:r>
      <w:r>
        <w:rPr>
          <w:rStyle w:val="Fill-in"/>
        </w:rPr>
        <w:t xml:space="preserve">[System owner]</w:t>
      </w:r>
      <w:r>
        <w:t xml:space="preserve"> </w:t>
      </w:r>
      <w:r>
        <w:t xml:space="preserve">shall update spam protection mechanisms when new releases are available, in accordance with the organization’s configuration management policy and procedures. (SI-8b)</w:t>
      </w:r>
    </w:p>
    <w:bookmarkStart w:id="568" w:name="federal-systems-56"/>
    <w:p>
      <w:pPr>
        <w:pStyle w:val="Heading5"/>
      </w:pPr>
      <w:r>
        <w:t xml:space="preserve">Federal systems</w:t>
      </w:r>
    </w:p>
    <w:p>
      <w:pPr>
        <w:pStyle w:val="FirstParagraph"/>
      </w:pPr>
      <w:r>
        <w:t xml:space="preserve">CISA</w:t>
      </w:r>
      <w:r>
        <w:t xml:space="preserve"> </w:t>
      </w:r>
      <w:hyperlink r:id="rId517">
        <w:r>
          <w:rPr>
            <w:rStyle w:val="Hyperlink"/>
          </w:rPr>
          <w:t xml:space="preserve">BOD 18-01</w:t>
        </w:r>
      </w:hyperlink>
      <w:r>
        <w:t xml:space="preserve">, Enhance Email and Web Security (October 16, 2017), requires federal civilian agencies to have valid SPF and DMARC records for all second-level agency domains, to set a DMARC policy of</w:t>
      </w:r>
      <w:r>
        <w:t xml:space="preserve"> </w:t>
      </w:r>
      <w:r>
        <w:t xml:space="preserve">“reject”</w:t>
      </w:r>
      <w:r>
        <w:t xml:space="preserve"> </w:t>
      </w:r>
      <w:r>
        <w:t xml:space="preserve">for all second-level domains and mail-sending hosts, and to add the address the directive designates (</w:t>
      </w:r>
      <w:r>
        <w:rPr>
          <w:rStyle w:val="VerbatimChar"/>
        </w:rPr>
        <w:t xml:space="preserve">reports@dmarc.cyber.dhs.gov</w:t>
      </w:r>
      <w:r>
        <w:t xml:space="preserve">) as a recipient of DMARC aggregate reports. As of September 2026.</w:t>
      </w:r>
    </w:p>
    <w:p>
      <w:pPr>
        <w:pStyle w:val="Compact"/>
        <w:numPr>
          <w:ilvl w:val="0"/>
          <w:numId w:val="1432"/>
        </w:numPr>
      </w:pPr>
      <w:r>
        <w:t xml:space="preserve">The</w:t>
      </w:r>
      <w:r>
        <w:t xml:space="preserve"> </w:t>
      </w:r>
      <w:r>
        <w:rPr>
          <w:rStyle w:val="Fill-in"/>
        </w:rPr>
        <w:t xml:space="preserve">[System owner]</w:t>
      </w:r>
      <w:r>
        <w:t xml:space="preserve"> </w:t>
      </w:r>
      <w:r>
        <w:t xml:space="preserve">shall ensure each second-level domain the system uses has valid SPF and DMARC records, with a DMARC policy of reject for the domain and its mail-sending hosts, as CISA BOD 18-01 requires. (SI-8a)</w:t>
      </w:r>
    </w:p>
    <w:p>
      <w:pPr>
        <w:pStyle w:val="Compact"/>
        <w:numPr>
          <w:ilvl w:val="0"/>
          <w:numId w:val="1432"/>
        </w:numPr>
      </w:pPr>
      <w:r>
        <w:t xml:space="preserve">The</w:t>
      </w:r>
      <w:r>
        <w:t xml:space="preserve"> </w:t>
      </w:r>
      <w:r>
        <w:rPr>
          <w:rStyle w:val="Fill-in"/>
        </w:rPr>
        <w:t xml:space="preserve">[System owner]</w:t>
      </w:r>
      <w:r>
        <w:t xml:space="preserve"> </w:t>
      </w:r>
      <w:r>
        <w:t xml:space="preserve">shall include</w:t>
      </w:r>
      <w:r>
        <w:t xml:space="preserve"> </w:t>
      </w:r>
      <w:r>
        <w:rPr>
          <w:rStyle w:val="VerbatimChar"/>
        </w:rPr>
        <w:t xml:space="preserve">reports@dmarc.cyber.dhs.gov</w:t>
      </w:r>
      <w:r>
        <w:t xml:space="preserve"> </w:t>
      </w:r>
      <w:r>
        <w:t xml:space="preserve">as a recipient of the domain’s DMARC aggregate reports, as CISA BOD 18-01 requires. (SI-8a)</w:t>
      </w:r>
    </w:p>
    <w:bookmarkEnd w:id="568"/>
    <w:bookmarkEnd w:id="569"/>
    <w:bookmarkStart w:id="570" w:name="automatic-updates-si-82"/>
    <w:p>
      <w:pPr>
        <w:pStyle w:val="Heading4"/>
      </w:pPr>
      <w:r>
        <w:t xml:space="preserve">Automatic updates (SI-8(2))</w:t>
      </w:r>
    </w:p>
    <w:p>
      <w:pPr>
        <w:pStyle w:val="Compact"/>
        <w:numPr>
          <w:ilvl w:val="0"/>
          <w:numId w:val="1433"/>
        </w:numPr>
      </w:pPr>
      <w:r>
        <w:t xml:space="preserve">The</w:t>
      </w:r>
      <w:r>
        <w:t xml:space="preserve"> </w:t>
      </w:r>
      <w:r>
        <w:rPr>
          <w:rStyle w:val="Fill-in"/>
        </w:rPr>
        <w:t xml:space="preserve">[System owner]</w:t>
      </w:r>
      <w:r>
        <w:t xml:space="preserve"> </w:t>
      </w:r>
      <w:r>
        <w:t xml:space="preserve">shall ensure spam protection mechanisms are updated automatically</w:t>
      </w:r>
      <w:r>
        <w:t xml:space="preserve"> </w:t>
      </w:r>
      <w:r>
        <w:rPr>
          <w:rStyle w:val="Fill-in"/>
        </w:rPr>
        <w:t xml:space="preserve">[Fill in: the frequency at which to automatically update spam protection mechanisms. Typical: as the vendor releases updates, and at least daily]</w:t>
      </w:r>
      <w:r>
        <w:t xml:space="preserve">. (SI-8(2))</w:t>
      </w:r>
    </w:p>
    <w:bookmarkEnd w:id="570"/>
    <w:bookmarkStart w:id="571" w:name="information-input-validation-si-10"/>
    <w:p>
      <w:pPr>
        <w:pStyle w:val="Heading4"/>
      </w:pPr>
      <w:r>
        <w:t xml:space="preserve">Information input validation (SI-10)</w:t>
      </w:r>
    </w:p>
    <w:p>
      <w:pPr>
        <w:pStyle w:val="Guidance"/>
      </w:pPr>
      <w:r>
        <w:t xml:space="preserve">Validate on the server, against an allow list of expected type, length, format and range, and keep data separate from commands (for example, parameterized database queries). Code review and application security testing (SA-11) are where assessors look for evidence.</w:t>
      </w:r>
    </w:p>
    <w:p>
      <w:pPr>
        <w:pStyle w:val="Compact"/>
        <w:numPr>
          <w:ilvl w:val="0"/>
          <w:numId w:val="1434"/>
        </w:numPr>
      </w:pPr>
      <w:r>
        <w:t xml:space="preserve">The</w:t>
      </w:r>
      <w:r>
        <w:t xml:space="preserve"> </w:t>
      </w:r>
      <w:r>
        <w:rPr>
          <w:rStyle w:val="Fill-in"/>
        </w:rPr>
        <w:t xml:space="preserve">[System owner]</w:t>
      </w:r>
      <w:r>
        <w:t xml:space="preserve"> </w:t>
      </w:r>
      <w:r>
        <w:t xml:space="preserve">shall ensure the system checks the validity of</w:t>
      </w:r>
      <w:r>
        <w:t xml:space="preserve"> </w:t>
      </w:r>
      <w:r>
        <w:rPr>
          <w:rStyle w:val="Fill-in"/>
        </w:rPr>
        <w:t xml:space="preserve">[Fill in: information inputs to the system requiring validity checks. Typical: all inputs from users, external systems and interfaces, including web forms, API requests, file uploads and query parameters]</w:t>
      </w:r>
      <w:r>
        <w:t xml:space="preserve">. (SI-10)</w:t>
      </w:r>
    </w:p>
    <w:bookmarkEnd w:id="571"/>
    <w:bookmarkStart w:id="572" w:name="error-handling-si-11"/>
    <w:p>
      <w:pPr>
        <w:pStyle w:val="Heading4"/>
      </w:pPr>
      <w:r>
        <w:t xml:space="preserve">Error handling (SI-11)</w:t>
      </w:r>
    </w:p>
    <w:p>
      <w:pPr>
        <w:pStyle w:val="Guidance"/>
      </w:pPr>
      <w:r>
        <w:t xml:space="preserve">Users see a short message and a reference number; the detail, such as stack traces, database errors and internal paths, goes to the logs. Login and password reset messages should not reveal whether an account exists.</w:t>
      </w:r>
    </w:p>
    <w:p>
      <w:pPr>
        <w:pStyle w:val="Compact"/>
        <w:numPr>
          <w:ilvl w:val="0"/>
          <w:numId w:val="1435"/>
        </w:numPr>
      </w:pPr>
      <w:r>
        <w:t xml:space="preserve">The</w:t>
      </w:r>
      <w:r>
        <w:t xml:space="preserve"> </w:t>
      </w:r>
      <w:r>
        <w:rPr>
          <w:rStyle w:val="Fill-in"/>
        </w:rPr>
        <w:t xml:space="preserve">[System owner]</w:t>
      </w:r>
      <w:r>
        <w:t xml:space="preserve"> </w:t>
      </w:r>
      <w:r>
        <w:t xml:space="preserve">shall ensure the system generates error messages that provide the information needed for corrective action without revealing information that could be exploited. (SI-11a)</w:t>
      </w:r>
    </w:p>
    <w:p>
      <w:pPr>
        <w:pStyle w:val="Compact"/>
        <w:numPr>
          <w:ilvl w:val="0"/>
          <w:numId w:val="1435"/>
        </w:numPr>
      </w:pPr>
      <w:r>
        <w:t xml:space="preserve">The</w:t>
      </w:r>
      <w:r>
        <w:t xml:space="preserve"> </w:t>
      </w:r>
      <w:r>
        <w:rPr>
          <w:rStyle w:val="Fill-in"/>
        </w:rPr>
        <w:t xml:space="preserve">[System owner]</w:t>
      </w:r>
      <w:r>
        <w:t xml:space="preserve"> </w:t>
      </w:r>
      <w:r>
        <w:t xml:space="preserve">shall ensure the system reveals detailed error messages only to</w:t>
      </w:r>
      <w:r>
        <w:t xml:space="preserve"> </w:t>
      </w:r>
      <w:r>
        <w:rPr>
          <w:rStyle w:val="Fill-in"/>
        </w:rPr>
        <w:t xml:space="preserve">[Fill in: personnel or roles to whom error messages are to be revealed. Typical: system administrators and developers with a need to know, through the system’s logs]</w:t>
      </w:r>
      <w:r>
        <w:t xml:space="preserve">. (SI-11b)</w:t>
      </w:r>
    </w:p>
    <w:bookmarkEnd w:id="572"/>
    <w:bookmarkStart w:id="577" w:name="Xff109d2c993c4421f257522c86596c85b62962b"/>
    <w:p>
      <w:pPr>
        <w:pStyle w:val="Heading4"/>
      </w:pPr>
      <w:r>
        <w:t xml:space="preserve">Information management and retention (SI-12)</w:t>
      </w:r>
    </w:p>
    <w:p>
      <w:pPr>
        <w:pStyle w:val="Guidance"/>
      </w:pPr>
      <w:r>
        <w:t xml:space="preserve">Retention applies to everything the system holds or produces: records, logs, backups, reports and exports. Records management usually owns the retention schedule; the system owner makes the system follow it, including deletion at the end of the period. For personally identifiable information, the retention periods also go in the privacy impact assessment.</w:t>
      </w:r>
    </w:p>
    <w:p>
      <w:pPr>
        <w:pStyle w:val="Compact"/>
        <w:numPr>
          <w:ilvl w:val="0"/>
          <w:numId w:val="1436"/>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436"/>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436"/>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576" w:name="federal-systems-57"/>
    <w:p>
      <w:pPr>
        <w:pStyle w:val="Heading5"/>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573">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574">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575">
        <w:r>
          <w:rPr>
            <w:rStyle w:val="Hyperlink"/>
          </w:rPr>
          <w:t xml:space="preserve">44 U.S.C. § 3303a(d)</w:t>
        </w:r>
      </w:hyperlink>
      <w:r>
        <w:t xml:space="preserve">). As of September 2026.</w:t>
      </w:r>
    </w:p>
    <w:p>
      <w:pPr>
        <w:pStyle w:val="Compact"/>
        <w:numPr>
          <w:ilvl w:val="0"/>
          <w:numId w:val="1437"/>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576"/>
    <w:bookmarkEnd w:id="577"/>
    <w:bookmarkStart w:id="578" w:name="memory-protection-si-16"/>
    <w:p>
      <w:pPr>
        <w:pStyle w:val="Heading4"/>
      </w:pPr>
      <w:r>
        <w:t xml:space="preserve">Memory protection (SI-16)</w:t>
      </w:r>
    </w:p>
    <w:p>
      <w:pPr>
        <w:pStyle w:val="Guidance"/>
      </w:pPr>
      <w:r>
        <w:t xml:space="preserve">Modern operating systems provide these protections by default; the evidence is a configuration baseline (CM-6) that keeps them enabled and a scan that shows no exceptions.</w:t>
      </w:r>
    </w:p>
    <w:p>
      <w:pPr>
        <w:pStyle w:val="Compact"/>
        <w:numPr>
          <w:ilvl w:val="0"/>
          <w:numId w:val="1438"/>
        </w:numPr>
      </w:pPr>
      <w:r>
        <w:t xml:space="preserve">The</w:t>
      </w:r>
      <w:r>
        <w:t xml:space="preserve"> </w:t>
      </w:r>
      <w:r>
        <w:rPr>
          <w:rStyle w:val="Fill-in"/>
        </w:rPr>
        <w:t xml:space="preserve">[System owner]</w:t>
      </w:r>
      <w:r>
        <w:t xml:space="preserve"> </w:t>
      </w:r>
      <w:r>
        <w:t xml:space="preserve">shall implement the following controls to protect the system memory from unauthorized code execution:</w:t>
      </w:r>
      <w:r>
        <w:t xml:space="preserve"> </w:t>
      </w:r>
      <w:r>
        <w:rPr>
          <w:rStyle w:val="Fill-in"/>
        </w:rPr>
        <w:t xml:space="preserve">[Fill in: controls to be implemented to protect the system memory from unauthorized code execution. Typical: data execution prevention and address space layout randomization, enforced by the operating system and hardware]</w:t>
      </w:r>
      <w:r>
        <w:t xml:space="preserve">. (SI-16)</w:t>
      </w:r>
    </w:p>
    <w:bookmarkEnd w:id="578"/>
    <w:bookmarkEnd w:id="579"/>
    <w:bookmarkStart w:id="605" w:name="supply-chain-risk-management-sr"/>
    <w:p>
      <w:pPr>
        <w:pStyle w:val="Heading3"/>
      </w:pPr>
      <w:r>
        <w:t xml:space="preserve">Supply Chain Risk Management (SR)</w:t>
      </w:r>
    </w:p>
    <w:bookmarkStart w:id="584" w:name="supply-chain-risk-management-plan-sr-2"/>
    <w:p>
      <w:pPr>
        <w:pStyle w:val="Heading4"/>
      </w:pPr>
      <w:r>
        <w:t xml:space="preserve">Supply chain risk management plan (SR-2)</w:t>
      </w:r>
    </w:p>
    <w:p>
      <w:pPr>
        <w:pStyle w:val="Guidance"/>
      </w:pPr>
      <w:r>
        <w:t xml:space="preserve">SR-2 asks for a plan, for each system, that covers supply chain risk across the whole life cycle. NIST’s SR-2 discussion says the plan expresses the organization’s supply chain risk tolerance, the acceptable mitigation strategies or controls, a process for evaluating and monitoring supply chain risk, how the plan is implemented and communicated, the justification for the mitigation measures taken, and the roles and responsibilities; it can stand alone or be part of the system security and privacy plans.</w:t>
      </w:r>
      <w:r>
        <w:t xml:space="preserve"> </w:t>
      </w:r>
      <w:hyperlink r:id="rId419">
        <w:r>
          <w:rPr>
            <w:rStyle w:val="Hyperlink"/>
          </w:rPr>
          <w:t xml:space="preserve">NIST SP 800-161 Rev. 1</w:t>
        </w:r>
      </w:hyperlink>
      <w:r>
        <w:t xml:space="preserve">, Cybersecurity Supply Chain Risk Management Practices for Systems and Organizations (May 2022, updated November 1, 2024; current as of October 2026) recommends a stand-alone plan, and says a plan incorporated into the system security plan must keep its supply chain parts clearly discernible (Appendix A, SR-2, and Appendix D.3). Its Appendix D.3.1 is a sample plan outline, and D.3.1.11 has the plan reviewed at least at life cycle milestones, gate reviews and significant contracting activities. The plan applies the organization-wide supply chain risk management strategy (PM-30) to one system. The</w:t>
      </w:r>
      <w:r>
        <w:t xml:space="preserve"> </w:t>
      </w:r>
      <w:hyperlink r:id="rId580">
        <w:r>
          <w:rPr>
            <w:rStyle w:val="Hyperlink"/>
          </w:rPr>
          <w:t xml:space="preserve">Supply Chain Risk Management Plan</w:t>
        </w:r>
      </w:hyperlink>
      <w:r>
        <w:t xml:space="preserve"> </w:t>
      </w:r>
      <w:r>
        <w:t xml:space="preserve">template follows that outline and the more detailed outline example NIST publishes with SP 800-18 Rev. 2 (June 2026). Assessors examine the plan, its review history and who can read and change it.</w:t>
      </w:r>
    </w:p>
    <w:p>
      <w:pPr>
        <w:pStyle w:val="Compact"/>
        <w:numPr>
          <w:ilvl w:val="0"/>
          <w:numId w:val="1439"/>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439"/>
        </w:numPr>
      </w:pPr>
      <w:r>
        <w:t xml:space="preserve">The plan shall be a stand-alone document or a clearly identifiable section of the system security plan. (SR-2a)</w:t>
      </w:r>
    </w:p>
    <w:p>
      <w:pPr>
        <w:pStyle w:val="Compact"/>
        <w:numPr>
          <w:ilvl w:val="0"/>
          <w:numId w:val="1439"/>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439"/>
        </w:numPr>
      </w:pPr>
      <w:r>
        <w:t xml:space="preserve">The plan shall list the system’s critical components and services and their suppliers, drawing on the criticality analysis (RA-9) and the component inventory (CM-8). (SR-2a)</w:t>
      </w:r>
    </w:p>
    <w:p>
      <w:pPr>
        <w:pStyle w:val="Compact"/>
        <w:numPr>
          <w:ilvl w:val="0"/>
          <w:numId w:val="1439"/>
        </w:numPr>
      </w:pPr>
      <w:r>
        <w:t xml:space="preserve">The authorizing official shall approve the plan and each significant change to it. (SR-2a)</w:t>
      </w:r>
    </w:p>
    <w:p>
      <w:pPr>
        <w:pStyle w:val="Compact"/>
        <w:numPr>
          <w:ilvl w:val="0"/>
          <w:numId w:val="1439"/>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439"/>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p>
      <w:pPr>
        <w:pStyle w:val="Guidance"/>
      </w:pPr>
      <w:r>
        <w:t xml:space="preserve">A plan that names critical components, suppliers and known weaknesses is useful to an adversary, which is why SR-2c asks for its protection. Handle it at least as carefully as the system security plan.</w:t>
      </w:r>
    </w:p>
    <w:bookmarkStart w:id="583" w:name="federal-systems-58"/>
    <w:p>
      <w:pPr>
        <w:pStyle w:val="Heading5"/>
      </w:pPr>
      <w:r>
        <w:t xml:space="preserve">Federal systems</w:t>
      </w:r>
    </w:p>
    <w:p>
      <w:pPr>
        <w:pStyle w:val="FirstParagraph"/>
      </w:pPr>
      <w:hyperlink r:id="rId77">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581">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582">
        <w:r>
          <w:rPr>
            <w:rStyle w:val="Hyperlink"/>
          </w:rPr>
          <w:t xml:space="preserve">41 U.S.C. § 1328</w:t>
        </w:r>
      </w:hyperlink>
      <w:r>
        <w:t xml:space="preserve">). Text checked in the United States Code, 2024 edition, as of October 2026.</w:t>
      </w:r>
    </w:p>
    <w:p>
      <w:pPr>
        <w:pStyle w:val="Compact"/>
        <w:numPr>
          <w:ilvl w:val="0"/>
          <w:numId w:val="1440"/>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583"/>
    <w:bookmarkEnd w:id="584"/>
    <w:bookmarkStart w:id="585" w:name="establish-scrm-team-sr-21"/>
    <w:p>
      <w:pPr>
        <w:pStyle w:val="Heading4"/>
      </w:pPr>
      <w:r>
        <w:t xml:space="preserve">Establish SCRM team (SR-2(1))</w:t>
      </w:r>
    </w:p>
    <w:p>
      <w:pPr>
        <w:pStyle w:val="Guidance"/>
      </w:pPr>
      <w:r>
        <w:t xml:space="preserve">NIST’s SR-2(1) discussion describes a team-based approach drawing on diverse roles, including the risk executive, information technology, contracting, information security, privacy, mission or business, legal, supply chain and logistics, acquisition and business continuity. It can be an extension of existing security and privacy risk management processes or part of an organizational risk management team. SP 800-161 Rev. 1 calls the central body a C-SCRM program management office. In a small organization the team may be a few people who meet as needed; what matters is that acquisition, security and legal decide together.</w:t>
      </w:r>
    </w:p>
    <w:p>
      <w:pPr>
        <w:pStyle w:val="Compact"/>
        <w:numPr>
          <w:ilvl w:val="0"/>
          <w:numId w:val="1441"/>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441"/>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441"/>
        </w:numPr>
      </w:pPr>
      <w:r>
        <w:t xml:space="preserve">The team shall meet at least quarterly, and whenever an acquisition or a supplier notification needs its review, and shall record its decisions. (SR-2(1))</w:t>
      </w:r>
    </w:p>
    <w:bookmarkEnd w:id="585"/>
    <w:bookmarkStart w:id="587" w:name="supply-chain-controls-and-processes-sr-3"/>
    <w:p>
      <w:pPr>
        <w:pStyle w:val="Heading4"/>
      </w:pPr>
      <w:r>
        <w:t xml:space="preserve">Supply chain controls and processes (SR-3)</w:t>
      </w:r>
    </w:p>
    <w:p>
      <w:pPr>
        <w:pStyle w:val="Guidance"/>
      </w:pPr>
      <w:r>
        <w:t xml:space="preserve">NIST’s SR-3 discussion defines supply chain elements as the organizations, entities and tools involved in the research and development, design, manufacturing, acquisition, delivery, integration, operations and maintenance, and disposal of systems and components. Supply chain processes include hardware, software and firmware development, shipping and handling, personnel and physical security programs, and the configuration management that maintains provenance. Weaknesses in either are potential vulnerabilities. SP 800-161 Rev. 1 points to its Section 2 and Appendix C for implementing SR-3. None of the SR-3 enhancements is in a baseline; the acquisition security requirements standard already requires suppliers to flow security requirements down to subcontractors, which is SR-3(3)’s aim.</w:t>
      </w:r>
    </w:p>
    <w:p>
      <w:pPr>
        <w:pStyle w:val="Compact"/>
        <w:numPr>
          <w:ilvl w:val="0"/>
          <w:numId w:val="1442"/>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442"/>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442"/>
        </w:numPr>
      </w:pPr>
      <w:r>
        <w:t xml:space="preserve">Each weakness or deficiency found shall be recorded in the risk register or the plan of action and milestones, with an owner, a response and a due date. (SR-3a)</w:t>
      </w:r>
    </w:p>
    <w:p>
      <w:pPr>
        <w:pStyle w:val="Compact"/>
        <w:numPr>
          <w:ilvl w:val="0"/>
          <w:numId w:val="1442"/>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442"/>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586" w:name="federal-systems-59"/>
    <w:p>
      <w:pPr>
        <w:pStyle w:val="Heading5"/>
      </w:pPr>
      <w:r>
        <w:t xml:space="preserve">Federal systems</w:t>
      </w:r>
    </w:p>
    <w:p>
      <w:pPr>
        <w:pStyle w:val="FirstParagraph"/>
      </w:pPr>
      <w:hyperlink r:id="rId77">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581">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443"/>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586"/>
    <w:bookmarkEnd w:id="587"/>
    <w:bookmarkStart w:id="591" w:name="X0e0dc855e1dd10b4eae943530f4a58da9a63d02"/>
    <w:p>
      <w:pPr>
        <w:pStyle w:val="Heading4"/>
      </w:pPr>
      <w:r>
        <w:t xml:space="preserve">Acquisition strategies, tools and methods (SR-5)</w:t>
      </w:r>
    </w:p>
    <w:p>
      <w:pPr>
        <w:pStyle w:val="Guidance"/>
      </w:pPr>
      <w:r>
        <w:t xml:space="preserve">NIST’s SR-5 discussion calls the acquisition process an important vehicle to protect the supply chain, and names tools such as obscuring the end use of a component, blind or filtered buys, tamper-evident packaging, and trusted or controlled distribution. It suggests incentives for suppliers that implement controls and are transparent about their practices, contract language prohibiting tainted or counterfeit components, and restricting purchases from untrustworthy suppliers, chosen in light of the supply chain risk assessment (RA-3(1)). Blind buys and controlled distribution suit high-threat environments; most organizations start with authorized sources, contract terms and supplier assessments. The contract terms themselves live in the</w:t>
      </w:r>
      <w:r>
        <w:t xml:space="preserve"> </w:t>
      </w:r>
      <w:hyperlink r:id="rId470">
        <w:r>
          <w:rPr>
            <w:rStyle w:val="Hyperlink"/>
          </w:rPr>
          <w:t xml:space="preserve">acquisition security requirements</w:t>
        </w:r>
      </w:hyperlink>
      <w:r>
        <w:t xml:space="preserve"> </w:t>
      </w:r>
      <w:r>
        <w:t xml:space="preserve">standard (section 4.5); keep them in step with this clause. SP 800-161 Rev. 1, Section 3, covers supply chain risk management in the acquisition process.</w:t>
      </w:r>
    </w:p>
    <w:p>
      <w:pPr>
        <w:pStyle w:val="Compact"/>
        <w:numPr>
          <w:ilvl w:val="0"/>
          <w:numId w:val="1444"/>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444"/>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444"/>
        </w:numPr>
      </w:pPr>
      <w:r>
        <w:t xml:space="preserve">The results of the system’s supply chain risk assessment (RA-3(1)) shall inform the strategies, tools and methods chosen for each such acquisition. (SR-5)</w:t>
      </w:r>
    </w:p>
    <w:bookmarkStart w:id="590" w:name="federal-systems-60"/>
    <w:p>
      <w:pPr>
        <w:pStyle w:val="Heading5"/>
      </w:pPr>
      <w:r>
        <w:t xml:space="preserve">Federal systems</w:t>
      </w:r>
    </w:p>
    <w:p>
      <w:pPr>
        <w:pStyle w:val="FirstParagraph"/>
      </w:pPr>
      <w:hyperlink r:id="rId77">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588">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589">
        <w:r>
          <w:rPr>
            <w:rStyle w:val="Hyperlink"/>
          </w:rPr>
          <w:t xml:space="preserve">41 CFR 201-1.304</w:t>
        </w:r>
      </w:hyperlink>
      <w:r>
        <w:t xml:space="preserve"> </w:t>
      </w:r>
      <w:r>
        <w:t xml:space="preserve">repeats the duty and sets out how an agency requests an exception.</w:t>
      </w:r>
      <w:r>
        <w:t xml:space="preserve"> </w:t>
      </w:r>
      <w:hyperlink r:id="rId471">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445"/>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445"/>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445"/>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590"/>
    <w:bookmarkEnd w:id="591"/>
    <w:bookmarkStart w:id="595" w:name="supplier-assessments-and-reviews-sr-6"/>
    <w:p>
      <w:pPr>
        <w:pStyle w:val="Heading4"/>
      </w:pPr>
      <w:r>
        <w:t xml:space="preserve">Supplier assessments and reviews (SR-6)</w:t>
      </w:r>
    </w:p>
    <w:p>
      <w:pPr>
        <w:pStyle w:val="Guidance"/>
      </w:pPr>
      <w:r>
        <w:t xml:space="preserve">NIST’s SR-6 discussion lists what a supplier review covers: security and supply chain risk management processes; foreign ownership, control or influence; and the supplier’s ability to assess its own second- and third-tier suppliers. Reviews consider documented processes and controls, all-source intelligence and publicly available information, and may be done by the organization or an independent third party. SP 800-161 Rev. 1 adds that assessments should apply a consistent set of core factors and criteria, so suppliers can be compared with each other and over time, and that the sources of information should be documented; its Appendix D.4 is a sample supply chain risk assessment template. For a cloud or other external service, the</w:t>
      </w:r>
      <w:r>
        <w:t xml:space="preserve"> </w:t>
      </w:r>
      <w:hyperlink r:id="rId299">
        <w:r>
          <w:rPr>
            <w:rStyle w:val="Hyperlink"/>
          </w:rPr>
          <w:t xml:space="preserve">external service review</w:t>
        </w:r>
      </w:hyperlink>
      <w:r>
        <w:t xml:space="preserve"> </w:t>
      </w:r>
      <w:r>
        <w:t xml:space="preserve">(SA-9) and the provider’s independent attestation supply much of the evidence. The</w:t>
      </w:r>
      <w:r>
        <w:t xml:space="preserve"> </w:t>
      </w:r>
      <w:hyperlink r:id="rId592">
        <w:r>
          <w:rPr>
            <w:rStyle w:val="Hyperlink"/>
          </w:rPr>
          <w:t xml:space="preserve">supplier assessment questionnaire</w:t>
        </w:r>
      </w:hyperlink>
      <w:r>
        <w:t xml:space="preserve"> </w:t>
      </w:r>
      <w:r>
        <w:t xml:space="preserve">rates the same core risk factors for every supplier and records the source of each finding.</w:t>
      </w:r>
    </w:p>
    <w:p>
      <w:pPr>
        <w:pStyle w:val="Compact"/>
        <w:numPr>
          <w:ilvl w:val="0"/>
          <w:numId w:val="1446"/>
        </w:numPr>
      </w:pPr>
      <w:r>
        <w:t xml:space="preserve">The</w:t>
      </w:r>
      <w:r>
        <w:t xml:space="preserve"> </w:t>
      </w:r>
      <w:r>
        <w:rPr>
          <w:rStyle w:val="Fill-in"/>
        </w:rPr>
        <w:t xml:space="preserve">[Chief Information Security Officer]</w:t>
      </w:r>
      <w:r>
        <w:t xml:space="preserve"> </w:t>
      </w:r>
      <w:r>
        <w:t xml:space="preserve">shall assess and review the supply chain-related risks associated with suppliers or contractors and the systems, system components or system services they provide</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446"/>
        </w:numPr>
      </w:pPr>
      <w:r>
        <w:t xml:space="preserve">Each assessment shall cover the supplier’s security and supply chain risk management processes, its foreign ownership, control or influence, its ability to assess its own second- and third-tier suppliers, its documented processes and controls, and publicly available information about it. (SR-6)</w:t>
      </w:r>
    </w:p>
    <w:p>
      <w:pPr>
        <w:pStyle w:val="Compact"/>
        <w:numPr>
          <w:ilvl w:val="0"/>
          <w:numId w:val="1446"/>
        </w:numPr>
      </w:pPr>
      <w:r>
        <w:t xml:space="preserve">The</w:t>
      </w:r>
      <w:r>
        <w:t xml:space="preserve"> </w:t>
      </w:r>
      <w:r>
        <w:rPr>
          <w:rStyle w:val="Fill-in"/>
        </w:rPr>
        <w:t xml:space="preserve">[Chief Information Security Officer]</w:t>
      </w:r>
      <w:r>
        <w:t xml:space="preserve"> </w:t>
      </w:r>
      <w:r>
        <w:t xml:space="preserve">shall apply the same core risk factors and criteria to every supplier assessment, and record the sources of information each one relied on. (SR-6)</w:t>
      </w:r>
    </w:p>
    <w:p>
      <w:pPr>
        <w:pStyle w:val="Compact"/>
        <w:numPr>
          <w:ilvl w:val="0"/>
          <w:numId w:val="1446"/>
        </w:numPr>
      </w:pPr>
      <w:r>
        <w:t xml:space="preserve">A contract for a critical component or service shall not be awarded or renewed until its supplier assessment is complete and each risk found is accepted or has a planned response. (SR-6)</w:t>
      </w:r>
    </w:p>
    <w:p>
      <w:pPr>
        <w:pStyle w:val="Compact"/>
        <w:numPr>
          <w:ilvl w:val="0"/>
          <w:numId w:val="1446"/>
        </w:numPr>
      </w:pPr>
      <w:r>
        <w:t xml:space="preserve">The</w:t>
      </w:r>
      <w:r>
        <w:t xml:space="preserve"> </w:t>
      </w:r>
      <w:r>
        <w:rPr>
          <w:rStyle w:val="Fill-in"/>
        </w:rPr>
        <w:t xml:space="preserve">[Chief Information Security Officer]</w:t>
      </w:r>
      <w:r>
        <w:t xml:space="preserve"> </w:t>
      </w:r>
      <w:r>
        <w:t xml:space="preserve">shall have the supply chain risk management team monitor publicly available information about the suppliers of critical components and services for indications of stolen information, poor development or quality control practices, information spillage or counterfeits. (SR-6)</w:t>
      </w:r>
    </w:p>
    <w:p>
      <w:pPr>
        <w:pStyle w:val="Compact"/>
        <w:numPr>
          <w:ilvl w:val="0"/>
          <w:numId w:val="1446"/>
        </w:numPr>
      </w:pPr>
      <w:r>
        <w:t xml:space="preserve">The</w:t>
      </w:r>
      <w:r>
        <w:t xml:space="preserve"> </w:t>
      </w:r>
      <w:r>
        <w:rPr>
          <w:rStyle w:val="Fill-in"/>
        </w:rPr>
        <w:t xml:space="preserve">[Chief Information Security Officer]</w:t>
      </w:r>
      <w:r>
        <w:t xml:space="preserve"> </w:t>
      </w:r>
      <w:r>
        <w:t xml:space="preserve">shall share assessment and review results with other organizations only as applicable rules, policies, agreements or contracts allow or require. (SR-6)</w:t>
      </w:r>
    </w:p>
    <w:bookmarkStart w:id="594" w:name="federal-systems-61"/>
    <w:p>
      <w:pPr>
        <w:pStyle w:val="Heading5"/>
      </w:pPr>
      <w:r>
        <w:t xml:space="preserve">Federal systems</w:t>
      </w:r>
    </w:p>
    <w:p>
      <w:pPr>
        <w:pStyle w:val="FirstParagraph"/>
      </w:pPr>
      <w:hyperlink r:id="rId581">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419">
        <w:r>
          <w:rPr>
            <w:rStyle w:val="Hyperlink"/>
          </w:rPr>
          <w:t xml:space="preserve">NIST SP 800-161 Rev. 1</w:t>
        </w:r>
      </w:hyperlink>
      <w:r>
        <w:t xml:space="preserve">, Cybersecurity Supply Chain Risk Management Practices for Systems and Organizations (May 2022, updated November 1, 2024; current as of October 2026), Appendix E, gives federal agencies baseline risk factors (section E.2.2) to address, at a minimum, for assessments of critical sources and covered articles, and says (section E.2.1) that determining assessment priorities, evaluating impact and making risk response decisions are inherently governmental functions that cannot be outsourced, although a qualified, vetted third party may support research and documentation. Under</w:t>
      </w:r>
      <w:r>
        <w:t xml:space="preserve"> </w:t>
      </w:r>
      <w:hyperlink r:id="rId593">
        <w:r>
          <w:rPr>
            <w:rStyle w:val="Hyperlink"/>
          </w:rPr>
          <w:t xml:space="preserve">41 CFR 201-1.201(b)</w:t>
        </w:r>
      </w:hyperlink>
      <w:r>
        <w:t xml:space="preserve">, an executive agency must expeditiously submit supply chain risk information to the Federal Acquisition Security Council’s information sharing agency when the Council requests it, or when the agency determines there is a reasonable basis to conclude that a substantial supply chain risk exists in connection with a source or covered article. Statute checked in the United States Code, 2024 edition, and regulation in the eCFR, as of October 2026.</w:t>
      </w:r>
    </w:p>
    <w:p>
      <w:pPr>
        <w:pStyle w:val="Compact"/>
        <w:numPr>
          <w:ilvl w:val="0"/>
          <w:numId w:val="1447"/>
        </w:numPr>
      </w:pPr>
      <w:r>
        <w:t xml:space="preserve">The</w:t>
      </w:r>
      <w:r>
        <w:t xml:space="preserve"> </w:t>
      </w:r>
      <w:r>
        <w:rPr>
          <w:rStyle w:val="Fill-in"/>
        </w:rPr>
        <w:t xml:space="preserve">[Chief Information Security Officer]</w:t>
      </w:r>
      <w:r>
        <w:t xml:space="preserve"> </w:t>
      </w:r>
      <w:r>
        <w:t xml:space="preserve">shall prioritize supplier assessments by the criticality of the mission, system, component, service or asset, as 41 U.S.C. § 1326(a)(2) requires. (SR-6)</w:t>
      </w:r>
    </w:p>
    <w:p>
      <w:pPr>
        <w:pStyle w:val="Compact"/>
        <w:numPr>
          <w:ilvl w:val="0"/>
          <w:numId w:val="1447"/>
        </w:numPr>
      </w:pPr>
      <w:r>
        <w:t xml:space="preserve">Assessments of critical sources and covered articles shall address every baseline risk factor in NIST SP 800-161 Rev. 1, Appendix E, section E.2.2. (SR-6)</w:t>
      </w:r>
    </w:p>
    <w:p>
      <w:pPr>
        <w:pStyle w:val="Compact"/>
        <w:numPr>
          <w:ilvl w:val="0"/>
          <w:numId w:val="1447"/>
        </w:numPr>
      </w:pPr>
      <w:r>
        <w:t xml:space="preserve">Agency officials shall set assessment priorities and make each risk response decision; a contractor may support the research and documentation but shall not make those decisions. (SR-6)</w:t>
      </w:r>
    </w:p>
    <w:p>
      <w:pPr>
        <w:pStyle w:val="Compact"/>
        <w:numPr>
          <w:ilvl w:val="0"/>
          <w:numId w:val="1447"/>
        </w:numPr>
      </w:pPr>
      <w:r>
        <w:t xml:space="preserve">When the agency determines there is a reasonable basis to conclude that a substantial supply chain risk exists in connection with a source or covered article,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(SR-6)</w:t>
      </w:r>
    </w:p>
    <w:bookmarkEnd w:id="594"/>
    <w:bookmarkEnd w:id="595"/>
    <w:bookmarkStart w:id="596" w:name="notification-agreements-sr-8"/>
    <w:p>
      <w:pPr>
        <w:pStyle w:val="Heading4"/>
      </w:pPr>
      <w:r>
        <w:t xml:space="preserve">Notification agreements (SR-8)</w:t>
      </w:r>
    </w:p>
    <w:p>
      <w:pPr>
        <w:pStyle w:val="Guidance"/>
      </w:pPr>
      <w:r>
        <w:t xml:space="preserve">NIST’s SR-8 discussion says early notification of compromises and potential compromises in the supply chain is essential to responding to them, and that shared assessment or audit results can help a supply chain entity resolve a concern or improve its processes. SP 800-161 Rev. 1 adds that, at a minimum, organizations should require their suppliers to establish notification agreements with the entities in their own supply chains that have a role in a critical product or service. The notice times belong in the contract: the</w:t>
      </w:r>
      <w:r>
        <w:t xml:space="preserve"> </w:t>
      </w:r>
      <w:hyperlink r:id="rId470">
        <w:r>
          <w:rPr>
            <w:rStyle w:val="Hyperlink"/>
          </w:rPr>
          <w:t xml:space="preserve">acquisition security requirements</w:t>
        </w:r>
      </w:hyperlink>
      <w:r>
        <w:t xml:space="preserve"> </w:t>
      </w:r>
      <w:r>
        <w:t xml:space="preserve">standard (section 4.6) sets them for incidents and vulnerabilities. Notification in the other direction, from the organization to its suppliers about an incident, is the IR-6(3) clause of the Incident Response Policy.</w:t>
      </w:r>
    </w:p>
    <w:p>
      <w:pPr>
        <w:pStyle w:val="Compact"/>
        <w:numPr>
          <w:ilvl w:val="0"/>
          <w:numId w:val="1448"/>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448"/>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448"/>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448"/>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448"/>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329">
        <w:r>
          <w:rPr>
            <w:rStyle w:val="Hyperlink"/>
          </w:rPr>
          <w:t xml:space="preserve">incident response plan</w:t>
        </w:r>
      </w:hyperlink>
      <w:r>
        <w:t xml:space="preserve">, with the supply chain risk management team identifying the affected systems and components. (SR-8)</w:t>
      </w:r>
    </w:p>
    <w:bookmarkEnd w:id="596"/>
    <w:bookmarkStart w:id="597" w:name="tamper-resistance-and-detection-sr-9"/>
    <w:p>
      <w:pPr>
        <w:pStyle w:val="Heading4"/>
      </w:pPr>
      <w:r>
        <w:t xml:space="preserve">Tamper resistance and detection (SR-9)</w:t>
      </w:r>
    </w:p>
    <w:p>
      <w:pPr>
        <w:pStyle w:val="Guidance"/>
      </w:pPr>
      <w:r>
        <w:t xml:space="preserve">SR-9 and SR-9(1) are in the High baseline only. NIST’s SR-9 discussion says anti-tamper technologies protect against reverse engineering, modification and substitution, and that strong identification combined with tamper resistance or tamper detection is essential during distribution and in use. SP 800-161 Rev. 1 says to apply tamper resistance and detection to critical components at a minimum, using the criticality analysis (RA-9) to find them.</w:t>
      </w:r>
    </w:p>
    <w:p>
      <w:pPr>
        <w:pStyle w:val="Compact"/>
        <w:numPr>
          <w:ilvl w:val="0"/>
          <w:numId w:val="1449"/>
        </w:numPr>
      </w:pPr>
      <w:r>
        <w:t xml:space="preserve">The</w:t>
      </w:r>
      <w:r>
        <w:t xml:space="preserve"> </w:t>
      </w:r>
      <w:r>
        <w:rPr>
          <w:rStyle w:val="Fill-in"/>
        </w:rPr>
        <w:t xml:space="preserve">[Chief Information Security Officer]</w:t>
      </w:r>
      <w:r>
        <w:t xml:space="preserve"> </w:t>
      </w:r>
      <w:r>
        <w:t xml:space="preserve">shall implement a tamper protection program for the system, system components and system services. (SR-9)</w:t>
      </w:r>
    </w:p>
    <w:p>
      <w:pPr>
        <w:pStyle w:val="Compact"/>
        <w:numPr>
          <w:ilvl w:val="0"/>
          <w:numId w:val="1449"/>
        </w:numPr>
      </w:pPr>
      <w:r>
        <w:t xml:space="preserve">The program shall cover, at a minimum, the components the criticality analysis (RA-9) identifies as critical. (SR-9)</w:t>
      </w:r>
    </w:p>
    <w:p>
      <w:pPr>
        <w:pStyle w:val="Compact"/>
        <w:numPr>
          <w:ilvl w:val="0"/>
          <w:numId w:val="1449"/>
        </w:numPr>
      </w:pPr>
      <w:r>
        <w:t xml:space="preserve">The program shall combine strong identification of components, such as serial numbers recorded in the component inventory and cryptographic device identities where components support them, with tamper resistance and tamper detection. (SR-9)</w:t>
      </w:r>
    </w:p>
    <w:p>
      <w:pPr>
        <w:pStyle w:val="Compact"/>
        <w:numPr>
          <w:ilvl w:val="0"/>
          <w:numId w:val="1449"/>
        </w:numPr>
      </w:pPr>
      <w:r>
        <w:t xml:space="preserve">The program shall protect components in distribution, with tamper-evident packaging and tracked or controlled delivery, and in use, with tamper-evident seals or chassis intrusion detection on critical hardware and verification of firmware and software integrity at startup or installation (SI-7). (SR-9)</w:t>
      </w:r>
    </w:p>
    <w:p>
      <w:pPr>
        <w:pStyle w:val="Compact"/>
        <w:numPr>
          <w:ilvl w:val="0"/>
          <w:numId w:val="1449"/>
        </w:numPr>
      </w:pPr>
      <w:r>
        <w:t xml:space="preserve">A component that shows evidence of tampering shall be kept out of service and reported as an incident under the incident response plan. (SR-9)</w:t>
      </w:r>
    </w:p>
    <w:bookmarkEnd w:id="597"/>
    <w:bookmarkStart w:id="598" w:name="Xdda09f33b45a9fef119627d882ee78335af1b8f"/>
    <w:p>
      <w:pPr>
        <w:pStyle w:val="Heading4"/>
      </w:pPr>
      <w:r>
        <w:t xml:space="preserve">Multiple stages of system development life cycle (SR-9(1))</w:t>
      </w:r>
    </w:p>
    <w:p>
      <w:pPr>
        <w:pStyle w:val="Guidance"/>
      </w:pPr>
      <w:r>
        <w:t xml:space="preserve">NIST’s SR-9(1) discussion lists the life cycle phases, from research and development to disposal, and says organizations use a combination of hardware and software techniques, such as obfuscation and self-checking, to make reverse engineering and modification harder; customizing systems and components can make substitution easier to detect.</w:t>
      </w:r>
    </w:p>
    <w:p>
      <w:pPr>
        <w:pStyle w:val="Compact"/>
        <w:numPr>
          <w:ilvl w:val="0"/>
          <w:numId w:val="1450"/>
        </w:numPr>
      </w:pPr>
      <w:r>
        <w:t xml:space="preserve">The</w:t>
      </w:r>
      <w:r>
        <w:t xml:space="preserve"> </w:t>
      </w:r>
      <w:r>
        <w:rPr>
          <w:rStyle w:val="Fill-in"/>
        </w:rPr>
        <w:t xml:space="preserve">[System owner]</w:t>
      </w:r>
      <w:r>
        <w:t xml:space="preserve"> </w:t>
      </w:r>
      <w:r>
        <w:t xml:space="preserve">shall employ anti-tamper technologies, tools and techniques throughout the system development life cycle: research and development, design, manufacturing, acquisition, delivery, integration, operations and maintenance, and disposal. (SR-9(1))</w:t>
      </w:r>
    </w:p>
    <w:p>
      <w:pPr>
        <w:pStyle w:val="Compact"/>
        <w:numPr>
          <w:ilvl w:val="0"/>
          <w:numId w:val="1450"/>
        </w:numPr>
      </w:pPr>
      <w:r>
        <w:t xml:space="preserve">Contracts for custom or critical components shall state the anti-tamper requirements the developer or manufacturer must meet in each phase it performs. (SR-9(1))</w:t>
      </w:r>
    </w:p>
    <w:p>
      <w:pPr>
        <w:pStyle w:val="Compact"/>
        <w:numPr>
          <w:ilvl w:val="0"/>
          <w:numId w:val="1450"/>
        </w:numPr>
      </w:pPr>
      <w:r>
        <w:t xml:space="preserve">The supply chain risk management plan shall record which anti-tamper measures apply in each phase of the life cycle. (SR-9(1))</w:t>
      </w:r>
    </w:p>
    <w:bookmarkEnd w:id="598"/>
    <w:bookmarkStart w:id="600" w:name="X3cb789ce30c60622bd1ccdb673fcca52c739b4f"/>
    <w:p>
      <w:pPr>
        <w:pStyle w:val="Heading4"/>
      </w:pPr>
      <w:r>
        <w:t xml:space="preserve">Inspection of systems or components (SR-10)</w:t>
      </w:r>
    </w:p>
    <w:p>
      <w:pPr>
        <w:pStyle w:val="Guidance"/>
      </w:pPr>
      <w:r>
        <w:t xml:space="preserve">NIST’s SR-10 discussion says inspection addresses physical and logical tampering and applies to systems and components removed from organization-controlled areas. It names the indications of a need for inspection: changes in packaging, specifications, factory location or the entity the part is bought from, and individuals returning from travel to high-risk locations. SP 800-161 Rev. 1 says to inspect critical systems and components at a minimum, before use and periodically after, and to put inspection requirements in contracts with suppliers, integrators and service providers, flowed down to subcontractors. The receipt check in the Physical and Environmental Protection Policy (PE-16) is the first inspection of every arriving component; the</w:t>
      </w:r>
      <w:r>
        <w:t xml:space="preserve"> </w:t>
      </w:r>
      <w:hyperlink r:id="rId599">
        <w:r>
          <w:rPr>
            <w:rStyle w:val="Hyperlink"/>
          </w:rPr>
          <w:t xml:space="preserve">component inventory</w:t>
        </w:r>
      </w:hyperlink>
      <w:r>
        <w:t xml:space="preserve"> </w:t>
      </w:r>
      <w:r>
        <w:t xml:space="preserve">records the result.</w:t>
      </w:r>
    </w:p>
    <w:p>
      <w:pPr>
        <w:pStyle w:val="Compact"/>
        <w:numPr>
          <w:ilvl w:val="0"/>
          <w:numId w:val="1451"/>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451"/>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451"/>
        </w:numPr>
      </w:pPr>
      <w:r>
        <w:t xml:space="preserve">Each inspection shall be recorded with the component, the date, who inspected it and the result. (SR-10)</w:t>
      </w:r>
    </w:p>
    <w:p>
      <w:pPr>
        <w:pStyle w:val="Compact"/>
        <w:numPr>
          <w:ilvl w:val="0"/>
          <w:numId w:val="1451"/>
        </w:numPr>
      </w:pPr>
      <w:r>
        <w:t xml:space="preserve">A component that shows signs of tampering shall be kept out of service and reported under the incident response plan (IR-6). (SR-10)</w:t>
      </w:r>
    </w:p>
    <w:p>
      <w:pPr>
        <w:pStyle w:val="Compact"/>
        <w:numPr>
          <w:ilvl w:val="0"/>
          <w:numId w:val="1451"/>
        </w:numPr>
      </w:pPr>
      <w:r>
        <w:t xml:space="preserve">Contracts with the suppliers, integrators and service providers of critical components shall require them to inspect those components for tampering, and to flow the requirement down to their subcontractors. (SR-10)</w:t>
      </w:r>
    </w:p>
    <w:bookmarkEnd w:id="600"/>
    <w:bookmarkStart w:id="601" w:name="component-authenticity-sr-11"/>
    <w:p>
      <w:pPr>
        <w:pStyle w:val="Heading4"/>
      </w:pPr>
      <w:r>
        <w:t xml:space="preserve">Component authenticity (SR-11)</w:t>
      </w:r>
    </w:p>
    <w:p>
      <w:pPr>
        <w:pStyle w:val="Guidance"/>
      </w:pPr>
      <w:r>
        <w:t xml:space="preserve">NIST’s SR-11 discussion names manufacturers, developers, vendors and contractors as sources of counterfeit components, says anti-counterfeit policy and procedures support tamper resistance and protect against malicious code, and names CISA as an external reporting organization. SP 800-161 Rev. 1 says the policy and procedures need input from acquisition, information technology, security, legal and the supply chain risk management team, and should address contract clauses and counterfeit reporting processes, such as the Government-Industry Data Exchange Program (GIDEP), and, where appropriate, qualified bidders or manufacturers lists. The statements below are the anti-counterfeit policy; the procedure sets out the checks for each type of component. SR-11(3), anti-counterfeit scanning, is in no baseline.</w:t>
      </w:r>
    </w:p>
    <w:p>
      <w:pPr>
        <w:pStyle w:val="Compact"/>
        <w:numPr>
          <w:ilvl w:val="0"/>
          <w:numId w:val="1452"/>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452"/>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452"/>
        </w:numPr>
      </w:pPr>
      <w:r>
        <w:t xml:space="preserve">Each component shall be checked on receipt against the order and the manufacturer’s identifiers, such as part and serial numbers, labels and packaging. (SR-11a)</w:t>
      </w:r>
    </w:p>
    <w:p>
      <w:pPr>
        <w:pStyle w:val="Compact"/>
        <w:numPr>
          <w:ilvl w:val="0"/>
          <w:numId w:val="1452"/>
        </w:numPr>
      </w:pPr>
      <w:r>
        <w:t xml:space="preserve">Software, firmware and updates shall be verified by digital signature or the manufacturer’s published hash before installation. (SR-11a)</w:t>
      </w:r>
    </w:p>
    <w:p>
      <w:pPr>
        <w:pStyle w:val="Compact"/>
        <w:numPr>
          <w:ilvl w:val="0"/>
          <w:numId w:val="1452"/>
        </w:numPr>
      </w:pPr>
      <w:r>
        <w:t xml:space="preserve">A suspected counterfeit component shall be quarantined and kept out of the system until the investigation is complete, and shall not be returned to the seller before then. (SR-11a)</w:t>
      </w:r>
    </w:p>
    <w:p>
      <w:pPr>
        <w:pStyle w:val="Compact"/>
        <w:numPr>
          <w:ilvl w:val="0"/>
          <w:numId w:val="1452"/>
        </w:numPr>
      </w:pPr>
      <w:r>
        <w:t xml:space="preserve">A counterfeit component found installed in a system shall be handled as an incident under the incident response plan. (SR-11a)</w:t>
      </w:r>
    </w:p>
    <w:p>
      <w:pPr>
        <w:pStyle w:val="Compact"/>
        <w:numPr>
          <w:ilvl w:val="0"/>
          <w:numId w:val="1452"/>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601"/>
    <w:bookmarkStart w:id="602" w:name="anti-counterfeit-training-sr-111"/>
    <w:p>
      <w:pPr>
        <w:pStyle w:val="Heading4"/>
      </w:pPr>
      <w:r>
        <w:t xml:space="preserve">Anti-counterfeit training (SR-11(1))</w:t>
      </w:r>
    </w:p>
    <w:p>
      <w:pPr>
        <w:pStyle w:val="Compact"/>
        <w:numPr>
          <w:ilvl w:val="0"/>
          <w:numId w:val="1453"/>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453"/>
        </w:numPr>
      </w:pPr>
      <w:r>
        <w:t xml:space="preserve">The training shall be part of role-based training (AT-3), completed before the person takes on the duties and annually thereafter. (SR-11(1))</w:t>
      </w:r>
    </w:p>
    <w:p>
      <w:pPr>
        <w:pStyle w:val="Compact"/>
        <w:numPr>
          <w:ilvl w:val="0"/>
          <w:numId w:val="1453"/>
        </w:numPr>
      </w:pPr>
      <w:r>
        <w:t xml:space="preserve">The training shall cover the organization’s anti-counterfeit procedures, how to recognize counterfeit or altered hardware, packaging and software, and how to quarantine and report a suspect component. (SR-11(1))</w:t>
      </w:r>
    </w:p>
    <w:p>
      <w:pPr>
        <w:pStyle w:val="Guidance"/>
      </w:pPr>
      <w:r>
        <w:t xml:space="preserve">NIST gives no discussion for SR-11(1). SP 800-161 Rev. 1 says the supply chain risk management team can help find training resources and decide who needs the training. Record completions in the training record log, as for other role-based training.</w:t>
      </w:r>
    </w:p>
    <w:bookmarkEnd w:id="602"/>
    <w:bookmarkStart w:id="603" w:name="Xfd25bfe0082260f08b1c5227c111d60fc673069"/>
    <w:p>
      <w:pPr>
        <w:pStyle w:val="Heading4"/>
      </w:pPr>
      <w:r>
        <w:t xml:space="preserve">Configuration control for component service and repair (SR-11(2))</w:t>
      </w:r>
    </w:p>
    <w:p>
      <w:pPr>
        <w:pStyle w:val="Guidance"/>
      </w:pPr>
      <w:r>
        <w:t xml:space="preserve">NIST gives no discussion for SR-11(2). SP 800-161 Rev. 1 says configuration control for component service and repair should be integrated into the organization’s configuration control processes, and that component authenticity should be addressed in contracts for servicing and repair. The Maintenance Policy covers approval, sanitization and the check after repair (MA-2); this clause keeps a component under control while it is away and before it returns.</w:t>
      </w:r>
    </w:p>
    <w:p>
      <w:pPr>
        <w:pStyle w:val="Compact"/>
        <w:numPr>
          <w:ilvl w:val="0"/>
          <w:numId w:val="1454"/>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454"/>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454"/>
        </w:numPr>
      </w:pPr>
      <w:r>
        <w:t xml:space="preserve">A component sent off site shall be tracked by serial number from departure to return, with the maintenance log recording who had custody of it. (SR-11(2))</w:t>
      </w:r>
    </w:p>
    <w:p>
      <w:pPr>
        <w:pStyle w:val="Compact"/>
        <w:numPr>
          <w:ilvl w:val="0"/>
          <w:numId w:val="1454"/>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454"/>
        </w:numPr>
      </w:pPr>
      <w:r>
        <w:t xml:space="preserve">Contracts for component service and repair shall require genuine replacement parts from the original manufacturer or its authorized channel. (SR-11(2))</w:t>
      </w:r>
    </w:p>
    <w:bookmarkEnd w:id="603"/>
    <w:bookmarkStart w:id="604" w:name="component-disposal-sr-12"/>
    <w:p>
      <w:pPr>
        <w:pStyle w:val="Heading4"/>
      </w:pPr>
      <w:r>
        <w:t xml:space="preserve">Component disposal (SR-12)</w:t>
      </w:r>
    </w:p>
    <w:p>
      <w:pPr>
        <w:pStyle w:val="Guidance"/>
      </w:pPr>
      <w:r>
        <w:t xml:space="preserve">NIST’s SR-12 discussion says disposal can happen at any point in the life cycle, not only at retirement, and includes methods such as disk cleaning, removal of cryptographic keys and partial reuse of components. Disposal exposes paper and digital documentation, shipping and delivery records, memory sticks with code, and whole routers or servers with permanent media, and proper disposal keeps components out of the gray market. Sanitization itself follows the Media Protection Policy (MP-6); record it in the</w:t>
      </w:r>
      <w:r>
        <w:t xml:space="preserve"> </w:t>
      </w:r>
      <w:hyperlink r:id="rId278">
        <w:r>
          <w:rPr>
            <w:rStyle w:val="Hyperlink"/>
          </w:rPr>
          <w:t xml:space="preserve">media sanitization record</w:t>
        </w:r>
      </w:hyperlink>
      <w:r>
        <w:t xml:space="preserve">, and keep the disposed component in the</w:t>
      </w:r>
      <w:r>
        <w:t xml:space="preserve"> </w:t>
      </w:r>
      <w:hyperlink r:id="rId599">
        <w:r>
          <w:rPr>
            <w:rStyle w:val="Hyperlink"/>
          </w:rPr>
          <w:t xml:space="preserve">component inventory</w:t>
        </w:r>
      </w:hyperlink>
      <w:r>
        <w:t xml:space="preserve"> </w:t>
      </w:r>
      <w:r>
        <w:t xml:space="preserve">with the status</w:t>
      </w:r>
      <w:r>
        <w:t xml:space="preserve"> </w:t>
      </w:r>
      <w:r>
        <w:t xml:space="preserve">“disposed”</w:t>
      </w:r>
      <w:r>
        <w:t xml:space="preserve">.</w:t>
      </w:r>
    </w:p>
    <w:p>
      <w:pPr>
        <w:pStyle w:val="Compact"/>
        <w:numPr>
          <w:ilvl w:val="0"/>
          <w:numId w:val="1455"/>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455"/>
        </w:numPr>
      </w:pPr>
      <w:r>
        <w:t xml:space="preserve">These techniques and methods shall apply whenever disposal happens in the life cycle, including during development, testing and maintenance. (SR-12)</w:t>
      </w:r>
    </w:p>
    <w:p>
      <w:pPr>
        <w:pStyle w:val="Compact"/>
        <w:numPr>
          <w:ilvl w:val="0"/>
          <w:numId w:val="1455"/>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455"/>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604"/>
    <w:bookmarkEnd w:id="605"/>
    <w:bookmarkEnd w:id="606"/>
    <w:bookmarkStart w:id="608" w:name="review-and-update"/>
    <w:p>
      <w:pPr>
        <w:pStyle w:val="Heading2"/>
      </w:pPr>
      <w:r>
        <w:t xml:space="preserve">Review and update</w:t>
      </w:r>
    </w:p>
    <w:p>
      <w:pPr>
        <w:pStyle w:val="Compact"/>
        <w:numPr>
          <w:ilvl w:val="0"/>
          <w:numId w:val="1456"/>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information security and privacy policy is reviewed and updated. Typical: annually]</w:t>
      </w:r>
      <w:r>
        <w:t xml:space="preserve"> </w:t>
      </w:r>
      <w:r>
        <w:t xml:space="preserve">and following</w:t>
      </w:r>
      <w:r>
        <w:t xml:space="preserve"> </w:t>
      </w:r>
      <w:r>
        <w:rPr>
          <w:rStyle w:val="Fill-in"/>
        </w:rPr>
        <w:t xml:space="preserve">[Fill in: events that would require the current information security and privacy policy to be reviewed and updated. Typical: assessment or audit findings, security incidents or breaches, and changes in applicable laws, executive orders, directives, regulations, policies, standards or guidelines]</w:t>
      </w:r>
      <w:r>
        <w:t xml:space="preserve">. (XX-1c.1)</w:t>
      </w:r>
    </w:p>
    <w:p>
      <w:pPr>
        <w:pStyle w:val="Compact"/>
        <w:numPr>
          <w:ilvl w:val="0"/>
          <w:numId w:val="1456"/>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information security and privacy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(XX-1c.2)</w:t>
      </w:r>
    </w:p>
    <w:bookmarkStart w:id="607" w:name="federal-systems-6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76">
        <w:r>
          <w:rPr>
            <w:rStyle w:val="Hyperlink"/>
          </w:rPr>
          <w:t xml:space="preserve">44 U.S.C. § 3554</w:t>
        </w:r>
      </w:hyperlink>
      <w:r>
        <w:t xml:space="preserve">, Federal agency responsibilities) and</w:t>
      </w:r>
      <w:r>
        <w:t xml:space="preserve"> </w:t>
      </w:r>
      <w:hyperlink r:id="rId77">
        <w:r>
          <w:rPr>
            <w:rStyle w:val="Hyperlink"/>
          </w:rPr>
          <w:t xml:space="preserve">OMB Circular A-130</w:t>
        </w:r>
      </w:hyperlink>
      <w:r>
        <w:t xml:space="preserve">, Appendix I, Responsibilities for Protecting and Managing Federal Information Resources.</w:t>
      </w:r>
    </w:p>
    <w:p>
      <w:pPr>
        <w:pStyle w:val="Compact"/>
        <w:numPr>
          <w:ilvl w:val="0"/>
          <w:numId w:val="1457"/>
        </w:numPr>
      </w:pPr>
      <w:r>
        <w:t xml:space="preserve">Where the agency’s organization-wide policy sets a value for a parameter in this policy, each system shall use that value or a stricter one. (XX-1a.1(b))</w:t>
      </w:r>
    </w:p>
    <w:bookmarkEnd w:id="607"/>
    <w:bookmarkEnd w:id="608"/>
    <w:bookmarkEnd w:id="60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Security and Privacy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1"/>
  </w:num>
  <w:num w:numId="1364">
    <w:abstractNumId w:val="991"/>
  </w:num>
  <w:num w:numId="1365">
    <w:abstractNumId w:val="991"/>
  </w:num>
  <w:num w:numId="1366">
    <w:abstractNumId w:val="991"/>
  </w:num>
  <w:num w:numId="1367">
    <w:abstractNumId w:val="991"/>
  </w:num>
  <w:num w:numId="1368">
    <w:abstractNumId w:val="991"/>
  </w:num>
  <w:num w:numId="1369">
    <w:abstractNumId w:val="991"/>
  </w:num>
  <w:num w:numId="1370">
    <w:abstractNumId w:val="991"/>
  </w:num>
  <w:num w:numId="1371">
    <w:abstractNumId w:val="991"/>
  </w:num>
  <w:num w:numId="1372">
    <w:abstractNumId w:val="991"/>
  </w:num>
  <w:num w:numId="1373">
    <w:abstractNumId w:val="991"/>
  </w:num>
  <w:num w:numId="1374">
    <w:abstractNumId w:val="991"/>
  </w:num>
  <w:num w:numId="1375">
    <w:abstractNumId w:val="991"/>
  </w:num>
  <w:num w:numId="1376">
    <w:abstractNumId w:val="991"/>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1"/>
  </w:num>
  <w:num w:numId="1386">
    <w:abstractNumId w:val="991"/>
  </w:num>
  <w:num w:numId="1387">
    <w:abstractNumId w:val="991"/>
  </w:num>
  <w:num w:numId="1388">
    <w:abstractNumId w:val="991"/>
  </w:num>
  <w:num w:numId="1389">
    <w:abstractNumId w:val="991"/>
  </w:num>
  <w:num w:numId="1390">
    <w:abstractNumId w:val="991"/>
  </w:num>
  <w:num w:numId="1391">
    <w:abstractNumId w:val="991"/>
  </w:num>
  <w:num w:numId="1392">
    <w:abstractNumId w:val="991"/>
  </w:num>
  <w:num w:numId="1393">
    <w:abstractNumId w:val="991"/>
  </w:num>
  <w:num w:numId="1394">
    <w:abstractNumId w:val="991"/>
  </w:num>
  <w:num w:numId="1395">
    <w:abstractNumId w:val="991"/>
  </w:num>
  <w:num w:numId="1396">
    <w:abstractNumId w:val="991"/>
  </w:num>
  <w:num w:numId="1397">
    <w:abstractNumId w:val="991"/>
  </w:num>
  <w:num w:numId="1398">
    <w:abstractNumId w:val="991"/>
  </w:num>
  <w:num w:numId="1399">
    <w:abstractNumId w:val="991"/>
  </w:num>
  <w:num w:numId="1400">
    <w:abstractNumId w:val="991"/>
  </w:num>
  <w:num w:numId="1401">
    <w:abstractNumId w:val="991"/>
  </w:num>
  <w:num w:numId="1402">
    <w:abstractNumId w:val="991"/>
  </w:num>
  <w:num w:numId="1403">
    <w:abstractNumId w:val="991"/>
  </w:num>
  <w:num w:numId="1404">
    <w:abstractNumId w:val="991"/>
  </w:num>
  <w:num w:numId="1405">
    <w:abstractNumId w:val="991"/>
  </w:num>
  <w:num w:numId="1406">
    <w:abstractNumId w:val="991"/>
  </w:num>
  <w:num w:numId="1407">
    <w:abstractNumId w:val="991"/>
  </w:num>
  <w:num w:numId="1408">
    <w:abstractNumId w:val="991"/>
  </w:num>
  <w:num w:numId="1409">
    <w:abstractNumId w:val="991"/>
  </w:num>
  <w:num w:numId="1410">
    <w:abstractNumId w:val="991"/>
  </w:num>
  <w:num w:numId="1411">
    <w:abstractNumId w:val="991"/>
  </w:num>
  <w:num w:numId="1412">
    <w:abstractNumId w:val="991"/>
  </w:num>
  <w:num w:numId="1413">
    <w:abstractNumId w:val="991"/>
  </w:num>
  <w:num w:numId="1414">
    <w:abstractNumId w:val="991"/>
  </w:num>
  <w:num w:numId="1415">
    <w:abstractNumId w:val="991"/>
  </w:num>
  <w:num w:numId="1416">
    <w:abstractNumId w:val="991"/>
  </w:num>
  <w:num w:numId="1417">
    <w:abstractNumId w:val="991"/>
  </w:num>
  <w:num w:numId="1418">
    <w:abstractNumId w:val="991"/>
  </w:num>
  <w:num w:numId="1419">
    <w:abstractNumId w:val="991"/>
  </w:num>
  <w:num w:numId="1420">
    <w:abstractNumId w:val="991"/>
  </w:num>
  <w:num w:numId="1421">
    <w:abstractNumId w:val="991"/>
  </w:num>
  <w:num w:numId="1422">
    <w:abstractNumId w:val="991"/>
  </w:num>
  <w:num w:numId="1423">
    <w:abstractNumId w:val="991"/>
  </w:num>
  <w:num w:numId="1424">
    <w:abstractNumId w:val="991"/>
  </w:num>
  <w:num w:numId="1425">
    <w:abstractNumId w:val="991"/>
  </w:num>
  <w:num w:numId="1426">
    <w:abstractNumId w:val="991"/>
  </w:num>
  <w:num w:numId="1427">
    <w:abstractNumId w:val="991"/>
  </w:num>
  <w:num w:numId="1428">
    <w:abstractNumId w:val="991"/>
  </w:num>
  <w:num w:numId="1429">
    <w:abstractNumId w:val="991"/>
  </w:num>
  <w:num w:numId="1430">
    <w:abstractNumId w:val="991"/>
  </w:num>
  <w:num w:numId="1431">
    <w:abstractNumId w:val="991"/>
  </w:num>
  <w:num w:numId="1432">
    <w:abstractNumId w:val="991"/>
  </w:num>
  <w:num w:numId="1433">
    <w:abstractNumId w:val="991"/>
  </w:num>
  <w:num w:numId="1434">
    <w:abstractNumId w:val="991"/>
  </w:num>
  <w:num w:numId="1435">
    <w:abstractNumId w:val="991"/>
  </w:num>
  <w:num w:numId="1436">
    <w:abstractNumId w:val="991"/>
  </w:num>
  <w:num w:numId="1437">
    <w:abstractNumId w:val="991"/>
  </w:num>
  <w:num w:numId="1438">
    <w:abstractNumId w:val="991"/>
  </w:num>
  <w:num w:numId="1439">
    <w:abstractNumId w:val="991"/>
  </w:num>
  <w:num w:numId="1440">
    <w:abstractNumId w:val="991"/>
  </w:num>
  <w:num w:numId="1441">
    <w:abstractNumId w:val="991"/>
  </w:num>
  <w:num w:numId="1442">
    <w:abstractNumId w:val="991"/>
  </w:num>
  <w:num w:numId="1443">
    <w:abstractNumId w:val="991"/>
  </w:num>
  <w:num w:numId="1444">
    <w:abstractNumId w:val="991"/>
  </w:num>
  <w:num w:numId="1445">
    <w:abstractNumId w:val="991"/>
  </w:num>
  <w:num w:numId="1446">
    <w:abstractNumId w:val="991"/>
  </w:num>
  <w:num w:numId="1447">
    <w:abstractNumId w:val="991"/>
  </w:num>
  <w:num w:numId="1448">
    <w:abstractNumId w:val="991"/>
  </w:num>
  <w:num w:numId="1449">
    <w:abstractNumId w:val="991"/>
  </w:num>
  <w:num w:numId="1450">
    <w:abstractNumId w:val="991"/>
  </w:num>
  <w:num w:numId="1451">
    <w:abstractNumId w:val="991"/>
  </w:num>
  <w:num w:numId="1452">
    <w:abstractNumId w:val="991"/>
  </w:num>
  <w:num w:numId="1453">
    <w:abstractNumId w:val="991"/>
  </w:num>
  <w:num w:numId="1454">
    <w:abstractNumId w:val="991"/>
  </w:num>
  <w:num w:numId="1455">
    <w:abstractNumId w:val="991"/>
  </w:num>
  <w:num w:numId="1456">
    <w:abstractNumId w:val="991"/>
  </w:num>
  <w:num w:numId="145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8" Target="https://csrc.nist.gov/projects/fips-140-3-transition-effort" TargetMode="External" /><Relationship Type="http://schemas.openxmlformats.org/officeDocument/2006/relationships/hyperlink" Id="rId524" Target="https://csrc.nist.gov/pubs/fips/140-3/final" TargetMode="External" /><Relationship Type="http://schemas.openxmlformats.org/officeDocument/2006/relationships/hyperlink" Id="rId361" Target="https://csrc.nist.gov/pubs/fips/199/final" TargetMode="External" /><Relationship Type="http://schemas.openxmlformats.org/officeDocument/2006/relationships/hyperlink" Id="rId362" Target="https://csrc.nist.gov/pubs/fips/200/final" TargetMode="External" /><Relationship Type="http://schemas.openxmlformats.org/officeDocument/2006/relationships/hyperlink" Id="rId231" Target="https://csrc.nist.gov/pubs/fips/201-3/final" TargetMode="External" /><Relationship Type="http://schemas.openxmlformats.org/officeDocument/2006/relationships/hyperlink" Id="rId483" Target="https://csrc.nist.gov/pubs/ir/8062/final" TargetMode="External" /><Relationship Type="http://schemas.openxmlformats.org/officeDocument/2006/relationships/hyperlink" Id="rId144" Target="https://csrc.nist.gov/pubs/sp/800/115/final" TargetMode="External" /><Relationship Type="http://schemas.openxmlformats.org/officeDocument/2006/relationships/hyperlink" Id="rId322" Target="https://csrc.nist.gov/pubs/sp/800/116/r1/final" TargetMode="External" /><Relationship Type="http://schemas.openxmlformats.org/officeDocument/2006/relationships/hyperlink" Id="rId139" Target="https://csrc.nist.gov/pubs/sp/800/137/final" TargetMode="External" /><Relationship Type="http://schemas.openxmlformats.org/officeDocument/2006/relationships/hyperlink" Id="rId469" Target="https://csrc.nist.gov/pubs/sp/800/160/v1/r1/final" TargetMode="External" /><Relationship Type="http://schemas.openxmlformats.org/officeDocument/2006/relationships/hyperlink" Id="rId419" Target="https://csrc.nist.gov/pubs/sp/800/161/r1/upd1/final" TargetMode="External" /><Relationship Type="http://schemas.openxmlformats.org/officeDocument/2006/relationships/hyperlink" Id="rId395" Target="https://csrc.nist.gov/pubs/sp/800/171/r3/final" TargetMode="External" /><Relationship Type="http://schemas.openxmlformats.org/officeDocument/2006/relationships/hyperlink" Id="rId82" Target="https://csrc.nist.gov/pubs/sp/800/181/r1/final" TargetMode="External" /><Relationship Type="http://schemas.openxmlformats.org/officeDocument/2006/relationships/hyperlink" Id="rId489" Target="https://csrc.nist.gov/pubs/sp/800/218/final" TargetMode="External" /><Relationship Type="http://schemas.openxmlformats.org/officeDocument/2006/relationships/hyperlink" Id="rId135" Target="https://csrc.nist.gov/pubs/sp/800/37/r2/final" TargetMode="External" /><Relationship Type="http://schemas.openxmlformats.org/officeDocument/2006/relationships/hyperlink" Id="rId350" Target="https://csrc.nist.gov/pubs/sp/800/46/r2/final" TargetMode="External" /><Relationship Type="http://schemas.openxmlformats.org/officeDocument/2006/relationships/hyperlink" Id="rId128" Target="https://csrc.nist.gov/pubs/sp/800/47/r1/final" TargetMode="External" /><Relationship Type="http://schemas.openxmlformats.org/officeDocument/2006/relationships/hyperlink" Id="rId122" Target="https://csrc.nist.gov/pubs/sp/800/53/a/r5/final" TargetMode="External" /><Relationship Type="http://schemas.openxmlformats.org/officeDocument/2006/relationships/hyperlink" Id="rId444" Target="https://csrc.nist.gov/pubs/sp/800/60/r2/iwd" TargetMode="External" /><Relationship Type="http://schemas.openxmlformats.org/officeDocument/2006/relationships/hyperlink" Id="rId443" Target="https://csrc.nist.gov/pubs/sp/800/60/v1/r1/final" TargetMode="External" /><Relationship Type="http://schemas.openxmlformats.org/officeDocument/2006/relationships/hyperlink" Id="rId260" Target="https://csrc.nist.gov/pubs/sp/800/61/r3/final" TargetMode="External" /><Relationship Type="http://schemas.openxmlformats.org/officeDocument/2006/relationships/hyperlink" Id="rId237" Target="https://csrc.nist.gov/pubs/sp/800/63/b/4/final" TargetMode="External" /><Relationship Type="http://schemas.openxmlformats.org/officeDocument/2006/relationships/hyperlink" Id="rId163" Target="https://csrc.nist.gov/pubs/sp/800/70/r5/final" TargetMode="External" /><Relationship Type="http://schemas.openxmlformats.org/officeDocument/2006/relationships/hyperlink" Id="rId530" Target="https://csrc.nist.gov/pubs/sp/800/81/r3/final" TargetMode="External" /><Relationship Type="http://schemas.openxmlformats.org/officeDocument/2006/relationships/hyperlink" Id="rId277" Target="https://csrc.nist.gov/pubs/sp/800/88/r2/final" TargetMode="External" /><Relationship Type="http://schemas.openxmlformats.org/officeDocument/2006/relationships/hyperlink" Id="rId47" Target="https://kston83.github.io/nist-guide/controls/ac/ac-8/" TargetMode="External" /><Relationship Type="http://schemas.openxmlformats.org/officeDocument/2006/relationships/hyperlink" Id="rId436" Target="https://kston83.github.io/nist-guide/templates/forms/access-agreement/" TargetMode="External" /><Relationship Type="http://schemas.openxmlformats.org/officeDocument/2006/relationships/hyperlink" Id="rId22" Target="https://kston83.github.io/nist-guide/templates/forms/access-request-form/" TargetMode="External" /><Relationship Type="http://schemas.openxmlformats.org/officeDocument/2006/relationships/hyperlink" Id="rId23" Target="https://kston83.github.io/nist-guide/templates/forms/access-review-record/" TargetMode="External" /><Relationship Type="http://schemas.openxmlformats.org/officeDocument/2006/relationships/hyperlink" Id="rId599" Target="https://kston83.github.io/nist-guide/templates/forms/component-inventory/" TargetMode="External" /><Relationship Type="http://schemas.openxmlformats.org/officeDocument/2006/relationships/hyperlink" Id="rId299" Target="https://kston83.github.io/nist-guide/templates/forms/external-service-review/" TargetMode="External" /><Relationship Type="http://schemas.openxmlformats.org/officeDocument/2006/relationships/hyperlink" Id="rId127" Target="https://kston83.github.io/nist-guide/templates/forms/information-exchange-agreement/" TargetMode="External" /><Relationship Type="http://schemas.openxmlformats.org/officeDocument/2006/relationships/hyperlink" Id="rId276" Target="https://kston83.github.io/nist-guide/templates/forms/maintenance-log/" TargetMode="External" /><Relationship Type="http://schemas.openxmlformats.org/officeDocument/2006/relationships/hyperlink" Id="rId278" Target="https://kston83.github.io/nist-guide/templates/forms/media-sanitization-record/"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294" Target="https://kston83.github.io/nist-guide/templates/forms/physical-access-list/" TargetMode="External" /><Relationship Type="http://schemas.openxmlformats.org/officeDocument/2006/relationships/hyperlink" Id="rId132" Target="https://kston83.github.io/nist-guide/templates/forms/plan-of-action-and-milestones/" TargetMode="External" /><Relationship Type="http://schemas.openxmlformats.org/officeDocument/2006/relationships/hyperlink" Id="rId448" Target="https://kston83.github.io/nist-guide/templates/forms/risk-register/" TargetMode="External" /><Relationship Type="http://schemas.openxmlformats.org/officeDocument/2006/relationships/hyperlink" Id="rId349" Target="https://kston83.github.io/nist-guide/templates/forms/rules-of-behavior/" TargetMode="External" /><Relationship Type="http://schemas.openxmlformats.org/officeDocument/2006/relationships/hyperlink" Id="rId442" Target="https://kston83.github.io/nist-guide/templates/forms/security-categorization-worksheet/" TargetMode="External" /><Relationship Type="http://schemas.openxmlformats.org/officeDocument/2006/relationships/hyperlink" Id="rId592" Target="https://kston83.github.io/nist-guide/templates/forms/supplier-assessment-questionnaire/" TargetMode="External" /><Relationship Type="http://schemas.openxmlformats.org/officeDocument/2006/relationships/hyperlink" Id="rId373" Target="https://kston83.github.io/nist-guide/templates/forms/system-inventory/" TargetMode="External" /><Relationship Type="http://schemas.openxmlformats.org/officeDocument/2006/relationships/hyperlink" Id="rId86" Target="https://kston83.github.io/nist-guide/templates/forms/training-record-log/" TargetMode="External" /><Relationship Type="http://schemas.openxmlformats.org/officeDocument/2006/relationships/hyperlink" Id="rId295" Target="https://kston83.github.io/nist-guide/templates/forms/visitor-log/" TargetMode="External" /><Relationship Type="http://schemas.openxmlformats.org/officeDocument/2006/relationships/hyperlink" Id="rId192" Target="https://kston83.github.io/nist-guide/templates/plans/contingency-plan-test-plan/" TargetMode="External" /><Relationship Type="http://schemas.openxmlformats.org/officeDocument/2006/relationships/hyperlink" Id="rId183" Target="https://kston83.github.io/nist-guide/templates/plans/contingency-plan/" TargetMode="External" /><Relationship Type="http://schemas.openxmlformats.org/officeDocument/2006/relationships/hyperlink" Id="rId138" Target="https://kston83.github.io/nist-guide/templates/plans/continuous-monitoring-strategy/" TargetMode="External" /><Relationship Type="http://schemas.openxmlformats.org/officeDocument/2006/relationships/hyperlink" Id="rId329" Target="https://kston83.github.io/nist-guide/templates/plans/incident-response-plan/" TargetMode="External" /><Relationship Type="http://schemas.openxmlformats.org/officeDocument/2006/relationships/hyperlink" Id="rId382" Target="https://kston83.github.io/nist-guide/templates/plans/risk-management-strategy/" TargetMode="External" /><Relationship Type="http://schemas.openxmlformats.org/officeDocument/2006/relationships/hyperlink" Id="rId120" Target="https://kston83.github.io/nist-guide/templates/plans/security-and-privacy-assessment-plan/" TargetMode="External" /><Relationship Type="http://schemas.openxmlformats.org/officeDocument/2006/relationships/hyperlink" Id="rId74" Target="https://kston83.github.io/nist-guide/templates/plans/security-and-privacy-training-plan/" TargetMode="External" /><Relationship Type="http://schemas.openxmlformats.org/officeDocument/2006/relationships/hyperlink" Id="rId580" Target="https://kston83.github.io/nist-guide/templates/plans/supply-chain-risk-management-plan/" TargetMode="External" /><Relationship Type="http://schemas.openxmlformats.org/officeDocument/2006/relationships/hyperlink" Id="rId356" Target="https://kston83.github.io/nist-guide/templates/plans/system-security-plan/" TargetMode="External" /><Relationship Type="http://schemas.openxmlformats.org/officeDocument/2006/relationships/hyperlink" Id="rId317" Target="https://kston83.github.io/nist-guide/templates/policies/ac/"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311" Target="https://kston83.github.io/nist-guide/templates/policies/ma/" TargetMode="External" /><Relationship Type="http://schemas.openxmlformats.org/officeDocument/2006/relationships/hyperlink" Id="rId296" Target="https://kston83.github.io/nist-guide/templates/policies/ps/" TargetMode="External" /><Relationship Type="http://schemas.openxmlformats.org/officeDocument/2006/relationships/hyperlink" Id="rId411" Target="https://kston83.github.io/nist-guide/templates/policies/pt/" TargetMode="External" /><Relationship Type="http://schemas.openxmlformats.org/officeDocument/2006/relationships/hyperlink" Id="rId21" Target="https://kston83.github.io/nist-guide/templates/procedures/account-management-procedure/" TargetMode="External" /><Relationship Type="http://schemas.openxmlformats.org/officeDocument/2006/relationships/hyperlink" Id="rId99" Target="https://kston83.github.io/nist-guide/templates/procedures/log-review-procedure/" TargetMode="External" /><Relationship Type="http://schemas.openxmlformats.org/officeDocument/2006/relationships/hyperlink" Id="rId182" Target="https://kston83.github.io/nist-guide/templates/reports/business-impact-analysis/" TargetMode="External" /><Relationship Type="http://schemas.openxmlformats.org/officeDocument/2006/relationships/hyperlink" Id="rId193" Target="https://kston83.github.io/nist-guide/templates/reports/contingency-plan-after-action-report/" TargetMode="External" /><Relationship Type="http://schemas.openxmlformats.org/officeDocument/2006/relationships/hyperlink" Id="rId447" Target="https://kston83.github.io/nist-guide/templates/reports/risk-assessment-report/" TargetMode="External" /><Relationship Type="http://schemas.openxmlformats.org/officeDocument/2006/relationships/hyperlink" Id="rId121" Target="https://kston83.github.io/nist-guide/templates/reports/security-and-privacy-assessment-report/" TargetMode="External" /><Relationship Type="http://schemas.openxmlformats.org/officeDocument/2006/relationships/hyperlink" Id="rId470" Target="https://kston83.github.io/nist-guide/templates/standards/acquisition-security-requirements/" TargetMode="External" /><Relationship Type="http://schemas.openxmlformats.org/officeDocument/2006/relationships/hyperlink" Id="rId91" Target="https://kston83.github.io/nist-guide/templates/standards/audit-logging-standard/" TargetMode="External" /><Relationship Type="http://schemas.openxmlformats.org/officeDocument/2006/relationships/hyperlink" Id="rId34" Target="https://kston83.github.io/nist-guide/templates/standards/boundary-protection-standard/" TargetMode="External" /><Relationship Type="http://schemas.openxmlformats.org/officeDocument/2006/relationships/hyperlink" Id="rId302" Target="https://kston83.github.io/nist-guide/templates/standards/encryption-and-key-management-standard/" TargetMode="External" /><Relationship Type="http://schemas.openxmlformats.org/officeDocument/2006/relationships/hyperlink" Id="rId225" Target="https://kston83.github.io/nist-guide/templates/standards/identification-and-authentication-standard/" TargetMode="External" /><Relationship Type="http://schemas.openxmlformats.org/officeDocument/2006/relationships/hyperlink" Id="rId498" Target="https://kston83.github.io/nist-guide/templates/standards/patch-and-flaw-remediation-standard/" TargetMode="External" /><Relationship Type="http://schemas.openxmlformats.org/officeDocument/2006/relationships/hyperlink" Id="rId55" Target="https://kston83.github.io/nist-guide/templates/standards/remote-access-standard/" TargetMode="External" /><Relationship Type="http://schemas.openxmlformats.org/officeDocument/2006/relationships/hyperlink" Id="rId545" Target="https://kston83.github.io/nist-guide/templates/standards/system-monitoring-standard/" TargetMode="External" /><Relationship Type="http://schemas.openxmlformats.org/officeDocument/2006/relationships/hyperlink" Id="rId451" Target="https://kston83.github.io/nist-guide/templates/standards/vulnerability-management-standard/" TargetMode="External" /><Relationship Type="http://schemas.openxmlformats.org/officeDocument/2006/relationships/hyperlink" Id="rId573" Target="https://uscode.house.gov/view.xhtml?req=granuleid:USC-prelim-title44-section3101&amp;num=0&amp;edition=prelim" TargetMode="External" /><Relationship Type="http://schemas.openxmlformats.org/officeDocument/2006/relationships/hyperlink" Id="rId575" Target="https://uscode.house.gov/view.xhtml?req=granuleid:USC-prelim-title44-section3303a&amp;num=0&amp;edition=prelim" TargetMode="External" /><Relationship Type="http://schemas.openxmlformats.org/officeDocument/2006/relationships/hyperlink" Id="rId574" Target="https://uscode.house.gov/view.xhtml?req=granuleid:USC-prelim-title44-section3314&amp;num=0&amp;edition=prelim" TargetMode="External" /><Relationship Type="http://schemas.openxmlformats.org/officeDocument/2006/relationships/hyperlink" Id="rId374" Target="https://uscode.house.gov/view.xhtml?req=granuleid:USC-prelim-title44-section3505&amp;num=0&amp;edition=prelim" TargetMode="External" /><Relationship Type="http://schemas.openxmlformats.org/officeDocument/2006/relationships/hyperlink" Id="rId76" Target="https://uscode.house.gov/view.xhtml?req=granuleid:USC-prelim-title44-section3554&amp;num=0&amp;edition=prelim" TargetMode="External" /><Relationship Type="http://schemas.openxmlformats.org/officeDocument/2006/relationships/hyperlink" Id="rId406" Target="https://uscode.house.gov/view.xhtml?req=granuleid:USC-prelim-title5-section552a&amp;num=0&amp;edition=prelim" TargetMode="External" /><Relationship Type="http://schemas.openxmlformats.org/officeDocument/2006/relationships/hyperlink" Id="rId87" Target="https://www.archives.gov/files/records-mgmt/grs/grs02-6.pdf" TargetMode="External" /><Relationship Type="http://schemas.openxmlformats.org/officeDocument/2006/relationships/hyperlink" Id="rId333" Target="https://www.archives.gov/files/records-mgmt/grs/grs05-6.pdf" TargetMode="External" /><Relationship Type="http://schemas.openxmlformats.org/officeDocument/2006/relationships/hyperlink" Id="rId557" Target="https://www.cisa.gov/directives" TargetMode="External" /><Relationship Type="http://schemas.openxmlformats.org/officeDocument/2006/relationships/hyperlink" Id="rId267" Target="https://www.cisa.gov/federal-incident-notification-guidelines" TargetMode="External" /><Relationship Type="http://schemas.openxmlformats.org/officeDocument/2006/relationships/hyperlink" Id="rId290" Target="https://www.cisa.gov/news-events/directives/binding-operational-directive-23-02" TargetMode="External" /><Relationship Type="http://schemas.openxmlformats.org/officeDocument/2006/relationships/hyperlink" Id="rId517" Target="https://www.cisa.gov/news-events/directives/bod-18-01-enhance-email-and-web-security" TargetMode="External" /><Relationship Type="http://schemas.openxmlformats.org/officeDocument/2006/relationships/hyperlink" Id="rId459" Target="https://www.cisa.gov/news-events/directives/bod-20-01-develop-and-publish-vulnerability-disclosure-policy" TargetMode="External" /><Relationship Type="http://schemas.openxmlformats.org/officeDocument/2006/relationships/hyperlink" Id="rId453" Target="https://www.cisa.gov/news-events/directives/bod-23-01-improving-asset-visibility-and-vulnerability-detection-federal-networks" TargetMode="External" /><Relationship Type="http://schemas.openxmlformats.org/officeDocument/2006/relationships/hyperlink" Id="rId499" Target="https://www.cisa.gov/news-events/directives/bod-26-02-mitigating-risk-end-support-edge-devices" TargetMode="External" /><Relationship Type="http://schemas.openxmlformats.org/officeDocument/2006/relationships/hyperlink" Id="rId452" Target="https://www.cisa.gov/news-events/directives/bod-26-04-prioritizing-security-updates-based-risk" TargetMode="External" /><Relationship Type="http://schemas.openxmlformats.org/officeDocument/2006/relationships/hyperlink" Id="rId323" Target="https://www.cisa.gov/publication/risk-management-process" TargetMode="External" /><Relationship Type="http://schemas.openxmlformats.org/officeDocument/2006/relationships/hyperlink" Id="rId507" Target="https://www.cisa.gov/resources-tools/programs/trusted-internet-connections-tic" TargetMode="External" /><Relationship Type="http://schemas.openxmlformats.org/officeDocument/2006/relationships/hyperlink" Id="rId546" Target="https://www.cisa.gov/resources-tools/resources/logging-reference-architecture" TargetMode="External" /><Relationship Type="http://schemas.openxmlformats.org/officeDocument/2006/relationships/hyperlink" Id="rId207" Target="https://www.cisa.gov/resources-tools/services/telecommunications-service-priority-tsp" TargetMode="External" /><Relationship Type="http://schemas.openxmlformats.org/officeDocument/2006/relationships/hyperlink" Id="rId284" Target="https://www.ecfr.gov/current/title-32/section-2002.14" TargetMode="External" /><Relationship Type="http://schemas.openxmlformats.org/officeDocument/2006/relationships/hyperlink" Id="rId394" Target="https://www.ecfr.gov/current/title-32/section-2002.2" TargetMode="External" /><Relationship Type="http://schemas.openxmlformats.org/officeDocument/2006/relationships/hyperlink" Id="rId304" Target="https://www.ecfr.gov/current/title-32/section-2002.20" TargetMode="External" /><Relationship Type="http://schemas.openxmlformats.org/officeDocument/2006/relationships/hyperlink" Id="rId593" Target="https://www.ecfr.gov/current/title-41/section-201-1.201" TargetMode="External" /><Relationship Type="http://schemas.openxmlformats.org/officeDocument/2006/relationships/hyperlink" Id="rId589" Target="https://www.ecfr.gov/current/title-41/section-201-1.304" TargetMode="External" /><Relationship Type="http://schemas.openxmlformats.org/officeDocument/2006/relationships/hyperlink" Id="rId75" Target="https://www.ecfr.gov/current/title-5/chapter-I/subchapter-B/part-930/subpart-C/section-930.301" TargetMode="External" /><Relationship Type="http://schemas.openxmlformats.org/officeDocument/2006/relationships/hyperlink" Id="rId426" Target="https://www.ecfr.gov/current/title-5/section-1400.201" TargetMode="External" /><Relationship Type="http://schemas.openxmlformats.org/officeDocument/2006/relationships/hyperlink" Id="rId425" Target="https://www.ecfr.gov/current/title-5/section-731.106" TargetMode="External" /><Relationship Type="http://schemas.openxmlformats.org/officeDocument/2006/relationships/hyperlink" Id="rId386" Target="https://www.federalregister.gov/documents/2011/10/13/2011-26729/structural-reforms-to-improve-the-security-of-classified-networks-and-the-responsible-sharing-and" TargetMode="External" /><Relationship Type="http://schemas.openxmlformats.org/officeDocument/2006/relationships/hyperlink" Id="rId485" Target="https://www.fedramp.gov/2026/authority/m-24-15/" TargetMode="External" /><Relationship Type="http://schemas.openxmlformats.org/officeDocument/2006/relationships/hyperlink" Id="rId588" Target="https://www.govinfo.gov/link/uscode/41/1323?link-type=html" TargetMode="External" /><Relationship Type="http://schemas.openxmlformats.org/officeDocument/2006/relationships/hyperlink" Id="rId581" Target="https://www.govinfo.gov/link/uscode/41/1326?link-type=html" TargetMode="External" /><Relationship Type="http://schemas.openxmlformats.org/officeDocument/2006/relationships/hyperlink" Id="rId582" Target="https://www.govinfo.gov/link/uscode/41/1328?link-type=html" TargetMode="External" /><Relationship Type="http://schemas.openxmlformats.org/officeDocument/2006/relationships/hyperlink" Id="rId351" Target="https://www.govinfo.gov/link/uscode/5/6502?link-type=html" TargetMode="External" /><Relationship Type="http://schemas.openxmlformats.org/officeDocument/2006/relationships/hyperlink" Id="rId478" Target="https://www.idmanagement.gov/fips201/" TargetMode="External" /><Relationship Type="http://schemas.openxmlformats.org/officeDocument/2006/relationships/hyperlink" Id="rId83" Target="https://www.nist.gov/itl/applied-cybersecurity/nice/nice-framework-resource-center/nice-framework-current-versions" TargetMode="External" /><Relationship Type="http://schemas.openxmlformats.org/officeDocument/2006/relationships/hyperlink" Id="rId427" Target="https://www.opm.gov/suitability/suitability-executive-agent/position-designation-tool/" TargetMode="External" /><Relationship Type="http://schemas.openxmlformats.org/officeDocument/2006/relationships/hyperlink" Id="rId288" Target="https://www.whitehouse.gov/wp-content/uploads/2019/05/M-19-17.pdf" TargetMode="External" /><Relationship Type="http://schemas.openxmlformats.org/officeDocument/2006/relationships/hyperlink" Id="rId287" Target="https://www.whitehouse.gov/wp-content/uploads/2022/01/M-22-09.pdf" TargetMode="External" /><Relationship Type="http://schemas.openxmlformats.org/officeDocument/2006/relationships/hyperlink" Id="rId402" Target="https://www.whitehouse.gov/wp-content/uploads/2023/09/M-23-22-Delivering-a-Digital-First-Public-Experience.pdf" TargetMode="External" /><Relationship Type="http://schemas.openxmlformats.org/officeDocument/2006/relationships/hyperlink" Id="rId471" Target="https://www.whitehouse.gov/wp-content/uploads/2026/01/M-26-05-Adopting-a-Risk-based-Approach-to-Software-and-Hardware-Security.pdf" TargetMode="External" /><Relationship Type="http://schemas.openxmlformats.org/officeDocument/2006/relationships/hyperlink" Id="rId113" Target="https://www.whitehouse.gov/wp-content/uploads/2026/05/M-26-14-Ensuring-Effective-and-Efficient-Agency-Logging-and-Network-Visibility-to-Defend-Against-Evolving-Cyber-Threats.pdf" TargetMode="External" /><Relationship Type="http://schemas.openxmlformats.org/officeDocument/2006/relationships/hyperlink" Id="rId289" Target="https://www.whitehouse.gov/wp-content/uploads/2026/08/M-26-18-Scaling-Use-of-Login.gov-to-Deliver-a-Universal-Sign-on-for-Public-Services.pdf" TargetMode="External" /><Relationship Type="http://schemas.openxmlformats.org/officeDocument/2006/relationships/hyperlink" Id="rId7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8" Target="https://csrc.nist.gov/projects/fips-140-3-transition-effort" TargetMode="External" /><Relationship Type="http://schemas.openxmlformats.org/officeDocument/2006/relationships/hyperlink" Id="rId524" Target="https://csrc.nist.gov/pubs/fips/140-3/final" TargetMode="External" /><Relationship Type="http://schemas.openxmlformats.org/officeDocument/2006/relationships/hyperlink" Id="rId361" Target="https://csrc.nist.gov/pubs/fips/199/final" TargetMode="External" /><Relationship Type="http://schemas.openxmlformats.org/officeDocument/2006/relationships/hyperlink" Id="rId362" Target="https://csrc.nist.gov/pubs/fips/200/final" TargetMode="External" /><Relationship Type="http://schemas.openxmlformats.org/officeDocument/2006/relationships/hyperlink" Id="rId231" Target="https://csrc.nist.gov/pubs/fips/201-3/final" TargetMode="External" /><Relationship Type="http://schemas.openxmlformats.org/officeDocument/2006/relationships/hyperlink" Id="rId483" Target="https://csrc.nist.gov/pubs/ir/8062/final" TargetMode="External" /><Relationship Type="http://schemas.openxmlformats.org/officeDocument/2006/relationships/hyperlink" Id="rId144" Target="https://csrc.nist.gov/pubs/sp/800/115/final" TargetMode="External" /><Relationship Type="http://schemas.openxmlformats.org/officeDocument/2006/relationships/hyperlink" Id="rId322" Target="https://csrc.nist.gov/pubs/sp/800/116/r1/final" TargetMode="External" /><Relationship Type="http://schemas.openxmlformats.org/officeDocument/2006/relationships/hyperlink" Id="rId139" Target="https://csrc.nist.gov/pubs/sp/800/137/final" TargetMode="External" /><Relationship Type="http://schemas.openxmlformats.org/officeDocument/2006/relationships/hyperlink" Id="rId469" Target="https://csrc.nist.gov/pubs/sp/800/160/v1/r1/final" TargetMode="External" /><Relationship Type="http://schemas.openxmlformats.org/officeDocument/2006/relationships/hyperlink" Id="rId419" Target="https://csrc.nist.gov/pubs/sp/800/161/r1/upd1/final" TargetMode="External" /><Relationship Type="http://schemas.openxmlformats.org/officeDocument/2006/relationships/hyperlink" Id="rId395" Target="https://csrc.nist.gov/pubs/sp/800/171/r3/final" TargetMode="External" /><Relationship Type="http://schemas.openxmlformats.org/officeDocument/2006/relationships/hyperlink" Id="rId82" Target="https://csrc.nist.gov/pubs/sp/800/181/r1/final" TargetMode="External" /><Relationship Type="http://schemas.openxmlformats.org/officeDocument/2006/relationships/hyperlink" Id="rId489" Target="https://csrc.nist.gov/pubs/sp/800/218/final" TargetMode="External" /><Relationship Type="http://schemas.openxmlformats.org/officeDocument/2006/relationships/hyperlink" Id="rId135" Target="https://csrc.nist.gov/pubs/sp/800/37/r2/final" TargetMode="External" /><Relationship Type="http://schemas.openxmlformats.org/officeDocument/2006/relationships/hyperlink" Id="rId350" Target="https://csrc.nist.gov/pubs/sp/800/46/r2/final" TargetMode="External" /><Relationship Type="http://schemas.openxmlformats.org/officeDocument/2006/relationships/hyperlink" Id="rId128" Target="https://csrc.nist.gov/pubs/sp/800/47/r1/final" TargetMode="External" /><Relationship Type="http://schemas.openxmlformats.org/officeDocument/2006/relationships/hyperlink" Id="rId122" Target="https://csrc.nist.gov/pubs/sp/800/53/a/r5/final" TargetMode="External" /><Relationship Type="http://schemas.openxmlformats.org/officeDocument/2006/relationships/hyperlink" Id="rId444" Target="https://csrc.nist.gov/pubs/sp/800/60/r2/iwd" TargetMode="External" /><Relationship Type="http://schemas.openxmlformats.org/officeDocument/2006/relationships/hyperlink" Id="rId443" Target="https://csrc.nist.gov/pubs/sp/800/60/v1/r1/final" TargetMode="External" /><Relationship Type="http://schemas.openxmlformats.org/officeDocument/2006/relationships/hyperlink" Id="rId260" Target="https://csrc.nist.gov/pubs/sp/800/61/r3/final" TargetMode="External" /><Relationship Type="http://schemas.openxmlformats.org/officeDocument/2006/relationships/hyperlink" Id="rId237" Target="https://csrc.nist.gov/pubs/sp/800/63/b/4/final" TargetMode="External" /><Relationship Type="http://schemas.openxmlformats.org/officeDocument/2006/relationships/hyperlink" Id="rId163" Target="https://csrc.nist.gov/pubs/sp/800/70/r5/final" TargetMode="External" /><Relationship Type="http://schemas.openxmlformats.org/officeDocument/2006/relationships/hyperlink" Id="rId530" Target="https://csrc.nist.gov/pubs/sp/800/81/r3/final" TargetMode="External" /><Relationship Type="http://schemas.openxmlformats.org/officeDocument/2006/relationships/hyperlink" Id="rId277" Target="https://csrc.nist.gov/pubs/sp/800/88/r2/final" TargetMode="External" /><Relationship Type="http://schemas.openxmlformats.org/officeDocument/2006/relationships/hyperlink" Id="rId47" Target="https://kston83.github.io/nist-guide/controls/ac/ac-8/" TargetMode="External" /><Relationship Type="http://schemas.openxmlformats.org/officeDocument/2006/relationships/hyperlink" Id="rId436" Target="https://kston83.github.io/nist-guide/templates/forms/access-agreement/" TargetMode="External" /><Relationship Type="http://schemas.openxmlformats.org/officeDocument/2006/relationships/hyperlink" Id="rId22" Target="https://kston83.github.io/nist-guide/templates/forms/access-request-form/" TargetMode="External" /><Relationship Type="http://schemas.openxmlformats.org/officeDocument/2006/relationships/hyperlink" Id="rId23" Target="https://kston83.github.io/nist-guide/templates/forms/access-review-record/" TargetMode="External" /><Relationship Type="http://schemas.openxmlformats.org/officeDocument/2006/relationships/hyperlink" Id="rId599" Target="https://kston83.github.io/nist-guide/templates/forms/component-inventory/" TargetMode="External" /><Relationship Type="http://schemas.openxmlformats.org/officeDocument/2006/relationships/hyperlink" Id="rId299" Target="https://kston83.github.io/nist-guide/templates/forms/external-service-review/" TargetMode="External" /><Relationship Type="http://schemas.openxmlformats.org/officeDocument/2006/relationships/hyperlink" Id="rId127" Target="https://kston83.github.io/nist-guide/templates/forms/information-exchange-agreement/" TargetMode="External" /><Relationship Type="http://schemas.openxmlformats.org/officeDocument/2006/relationships/hyperlink" Id="rId276" Target="https://kston83.github.io/nist-guide/templates/forms/maintenance-log/" TargetMode="External" /><Relationship Type="http://schemas.openxmlformats.org/officeDocument/2006/relationships/hyperlink" Id="rId278" Target="https://kston83.github.io/nist-guide/templates/forms/media-sanitization-record/"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294" Target="https://kston83.github.io/nist-guide/templates/forms/physical-access-list/" TargetMode="External" /><Relationship Type="http://schemas.openxmlformats.org/officeDocument/2006/relationships/hyperlink" Id="rId132" Target="https://kston83.github.io/nist-guide/templates/forms/plan-of-action-and-milestones/" TargetMode="External" /><Relationship Type="http://schemas.openxmlformats.org/officeDocument/2006/relationships/hyperlink" Id="rId448" Target="https://kston83.github.io/nist-guide/templates/forms/risk-register/" TargetMode="External" /><Relationship Type="http://schemas.openxmlformats.org/officeDocument/2006/relationships/hyperlink" Id="rId349" Target="https://kston83.github.io/nist-guide/templates/forms/rules-of-behavior/" TargetMode="External" /><Relationship Type="http://schemas.openxmlformats.org/officeDocument/2006/relationships/hyperlink" Id="rId442" Target="https://kston83.github.io/nist-guide/templates/forms/security-categorization-worksheet/" TargetMode="External" /><Relationship Type="http://schemas.openxmlformats.org/officeDocument/2006/relationships/hyperlink" Id="rId592" Target="https://kston83.github.io/nist-guide/templates/forms/supplier-assessment-questionnaire/" TargetMode="External" /><Relationship Type="http://schemas.openxmlformats.org/officeDocument/2006/relationships/hyperlink" Id="rId373" Target="https://kston83.github.io/nist-guide/templates/forms/system-inventory/" TargetMode="External" /><Relationship Type="http://schemas.openxmlformats.org/officeDocument/2006/relationships/hyperlink" Id="rId86" Target="https://kston83.github.io/nist-guide/templates/forms/training-record-log/" TargetMode="External" /><Relationship Type="http://schemas.openxmlformats.org/officeDocument/2006/relationships/hyperlink" Id="rId295" Target="https://kston83.github.io/nist-guide/templates/forms/visitor-log/" TargetMode="External" /><Relationship Type="http://schemas.openxmlformats.org/officeDocument/2006/relationships/hyperlink" Id="rId192" Target="https://kston83.github.io/nist-guide/templates/plans/contingency-plan-test-plan/" TargetMode="External" /><Relationship Type="http://schemas.openxmlformats.org/officeDocument/2006/relationships/hyperlink" Id="rId183" Target="https://kston83.github.io/nist-guide/templates/plans/contingency-plan/" TargetMode="External" /><Relationship Type="http://schemas.openxmlformats.org/officeDocument/2006/relationships/hyperlink" Id="rId138" Target="https://kston83.github.io/nist-guide/templates/plans/continuous-monitoring-strategy/" TargetMode="External" /><Relationship Type="http://schemas.openxmlformats.org/officeDocument/2006/relationships/hyperlink" Id="rId329" Target="https://kston83.github.io/nist-guide/templates/plans/incident-response-plan/" TargetMode="External" /><Relationship Type="http://schemas.openxmlformats.org/officeDocument/2006/relationships/hyperlink" Id="rId382" Target="https://kston83.github.io/nist-guide/templates/plans/risk-management-strategy/" TargetMode="External" /><Relationship Type="http://schemas.openxmlformats.org/officeDocument/2006/relationships/hyperlink" Id="rId120" Target="https://kston83.github.io/nist-guide/templates/plans/security-and-privacy-assessment-plan/" TargetMode="External" /><Relationship Type="http://schemas.openxmlformats.org/officeDocument/2006/relationships/hyperlink" Id="rId74" Target="https://kston83.github.io/nist-guide/templates/plans/security-and-privacy-training-plan/" TargetMode="External" /><Relationship Type="http://schemas.openxmlformats.org/officeDocument/2006/relationships/hyperlink" Id="rId580" Target="https://kston83.github.io/nist-guide/templates/plans/supply-chain-risk-management-plan/" TargetMode="External" /><Relationship Type="http://schemas.openxmlformats.org/officeDocument/2006/relationships/hyperlink" Id="rId356" Target="https://kston83.github.io/nist-guide/templates/plans/system-security-plan/" TargetMode="External" /><Relationship Type="http://schemas.openxmlformats.org/officeDocument/2006/relationships/hyperlink" Id="rId317" Target="https://kston83.github.io/nist-guide/templates/policies/ac/"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311" Target="https://kston83.github.io/nist-guide/templates/policies/ma/" TargetMode="External" /><Relationship Type="http://schemas.openxmlformats.org/officeDocument/2006/relationships/hyperlink" Id="rId296" Target="https://kston83.github.io/nist-guide/templates/policies/ps/" TargetMode="External" /><Relationship Type="http://schemas.openxmlformats.org/officeDocument/2006/relationships/hyperlink" Id="rId411" Target="https://kston83.github.io/nist-guide/templates/policies/pt/" TargetMode="External" /><Relationship Type="http://schemas.openxmlformats.org/officeDocument/2006/relationships/hyperlink" Id="rId21" Target="https://kston83.github.io/nist-guide/templates/procedures/account-management-procedure/" TargetMode="External" /><Relationship Type="http://schemas.openxmlformats.org/officeDocument/2006/relationships/hyperlink" Id="rId99" Target="https://kston83.github.io/nist-guide/templates/procedures/log-review-procedure/" TargetMode="External" /><Relationship Type="http://schemas.openxmlformats.org/officeDocument/2006/relationships/hyperlink" Id="rId182" Target="https://kston83.github.io/nist-guide/templates/reports/business-impact-analysis/" TargetMode="External" /><Relationship Type="http://schemas.openxmlformats.org/officeDocument/2006/relationships/hyperlink" Id="rId193" Target="https://kston83.github.io/nist-guide/templates/reports/contingency-plan-after-action-report/" TargetMode="External" /><Relationship Type="http://schemas.openxmlformats.org/officeDocument/2006/relationships/hyperlink" Id="rId447" Target="https://kston83.github.io/nist-guide/templates/reports/risk-assessment-report/" TargetMode="External" /><Relationship Type="http://schemas.openxmlformats.org/officeDocument/2006/relationships/hyperlink" Id="rId121" Target="https://kston83.github.io/nist-guide/templates/reports/security-and-privacy-assessment-report/" TargetMode="External" /><Relationship Type="http://schemas.openxmlformats.org/officeDocument/2006/relationships/hyperlink" Id="rId470" Target="https://kston83.github.io/nist-guide/templates/standards/acquisition-security-requirements/" TargetMode="External" /><Relationship Type="http://schemas.openxmlformats.org/officeDocument/2006/relationships/hyperlink" Id="rId91" Target="https://kston83.github.io/nist-guide/templates/standards/audit-logging-standard/" TargetMode="External" /><Relationship Type="http://schemas.openxmlformats.org/officeDocument/2006/relationships/hyperlink" Id="rId34" Target="https://kston83.github.io/nist-guide/templates/standards/boundary-protection-standard/" TargetMode="External" /><Relationship Type="http://schemas.openxmlformats.org/officeDocument/2006/relationships/hyperlink" Id="rId302" Target="https://kston83.github.io/nist-guide/templates/standards/encryption-and-key-management-standard/" TargetMode="External" /><Relationship Type="http://schemas.openxmlformats.org/officeDocument/2006/relationships/hyperlink" Id="rId225" Target="https://kston83.github.io/nist-guide/templates/standards/identification-and-authentication-standard/" TargetMode="External" /><Relationship Type="http://schemas.openxmlformats.org/officeDocument/2006/relationships/hyperlink" Id="rId498" Target="https://kston83.github.io/nist-guide/templates/standards/patch-and-flaw-remediation-standard/" TargetMode="External" /><Relationship Type="http://schemas.openxmlformats.org/officeDocument/2006/relationships/hyperlink" Id="rId55" Target="https://kston83.github.io/nist-guide/templates/standards/remote-access-standard/" TargetMode="External" /><Relationship Type="http://schemas.openxmlformats.org/officeDocument/2006/relationships/hyperlink" Id="rId545" Target="https://kston83.github.io/nist-guide/templates/standards/system-monitoring-standard/" TargetMode="External" /><Relationship Type="http://schemas.openxmlformats.org/officeDocument/2006/relationships/hyperlink" Id="rId451" Target="https://kston83.github.io/nist-guide/templates/standards/vulnerability-management-standard/" TargetMode="External" /><Relationship Type="http://schemas.openxmlformats.org/officeDocument/2006/relationships/hyperlink" Id="rId573" Target="https://uscode.house.gov/view.xhtml?req=granuleid:USC-prelim-title44-section3101&amp;num=0&amp;edition=prelim" TargetMode="External" /><Relationship Type="http://schemas.openxmlformats.org/officeDocument/2006/relationships/hyperlink" Id="rId575" Target="https://uscode.house.gov/view.xhtml?req=granuleid:USC-prelim-title44-section3303a&amp;num=0&amp;edition=prelim" TargetMode="External" /><Relationship Type="http://schemas.openxmlformats.org/officeDocument/2006/relationships/hyperlink" Id="rId574" Target="https://uscode.house.gov/view.xhtml?req=granuleid:USC-prelim-title44-section3314&amp;num=0&amp;edition=prelim" TargetMode="External" /><Relationship Type="http://schemas.openxmlformats.org/officeDocument/2006/relationships/hyperlink" Id="rId374" Target="https://uscode.house.gov/view.xhtml?req=granuleid:USC-prelim-title44-section3505&amp;num=0&amp;edition=prelim" TargetMode="External" /><Relationship Type="http://schemas.openxmlformats.org/officeDocument/2006/relationships/hyperlink" Id="rId76" Target="https://uscode.house.gov/view.xhtml?req=granuleid:USC-prelim-title44-section3554&amp;num=0&amp;edition=prelim" TargetMode="External" /><Relationship Type="http://schemas.openxmlformats.org/officeDocument/2006/relationships/hyperlink" Id="rId406" Target="https://uscode.house.gov/view.xhtml?req=granuleid:USC-prelim-title5-section552a&amp;num=0&amp;edition=prelim" TargetMode="External" /><Relationship Type="http://schemas.openxmlformats.org/officeDocument/2006/relationships/hyperlink" Id="rId87" Target="https://www.archives.gov/files/records-mgmt/grs/grs02-6.pdf" TargetMode="External" /><Relationship Type="http://schemas.openxmlformats.org/officeDocument/2006/relationships/hyperlink" Id="rId333" Target="https://www.archives.gov/files/records-mgmt/grs/grs05-6.pdf" TargetMode="External" /><Relationship Type="http://schemas.openxmlformats.org/officeDocument/2006/relationships/hyperlink" Id="rId557" Target="https://www.cisa.gov/directives" TargetMode="External" /><Relationship Type="http://schemas.openxmlformats.org/officeDocument/2006/relationships/hyperlink" Id="rId267" Target="https://www.cisa.gov/federal-incident-notification-guidelines" TargetMode="External" /><Relationship Type="http://schemas.openxmlformats.org/officeDocument/2006/relationships/hyperlink" Id="rId290" Target="https://www.cisa.gov/news-events/directives/binding-operational-directive-23-02" TargetMode="External" /><Relationship Type="http://schemas.openxmlformats.org/officeDocument/2006/relationships/hyperlink" Id="rId517" Target="https://www.cisa.gov/news-events/directives/bod-18-01-enhance-email-and-web-security" TargetMode="External" /><Relationship Type="http://schemas.openxmlformats.org/officeDocument/2006/relationships/hyperlink" Id="rId459" Target="https://www.cisa.gov/news-events/directives/bod-20-01-develop-and-publish-vulnerability-disclosure-policy" TargetMode="External" /><Relationship Type="http://schemas.openxmlformats.org/officeDocument/2006/relationships/hyperlink" Id="rId453" Target="https://www.cisa.gov/news-events/directives/bod-23-01-improving-asset-visibility-and-vulnerability-detection-federal-networks" TargetMode="External" /><Relationship Type="http://schemas.openxmlformats.org/officeDocument/2006/relationships/hyperlink" Id="rId499" Target="https://www.cisa.gov/news-events/directives/bod-26-02-mitigating-risk-end-support-edge-devices" TargetMode="External" /><Relationship Type="http://schemas.openxmlformats.org/officeDocument/2006/relationships/hyperlink" Id="rId452" Target="https://www.cisa.gov/news-events/directives/bod-26-04-prioritizing-security-updates-based-risk" TargetMode="External" /><Relationship Type="http://schemas.openxmlformats.org/officeDocument/2006/relationships/hyperlink" Id="rId323" Target="https://www.cisa.gov/publication/risk-management-process" TargetMode="External" /><Relationship Type="http://schemas.openxmlformats.org/officeDocument/2006/relationships/hyperlink" Id="rId507" Target="https://www.cisa.gov/resources-tools/programs/trusted-internet-connections-tic" TargetMode="External" /><Relationship Type="http://schemas.openxmlformats.org/officeDocument/2006/relationships/hyperlink" Id="rId546" Target="https://www.cisa.gov/resources-tools/resources/logging-reference-architecture" TargetMode="External" /><Relationship Type="http://schemas.openxmlformats.org/officeDocument/2006/relationships/hyperlink" Id="rId207" Target="https://www.cisa.gov/resources-tools/services/telecommunications-service-priority-tsp" TargetMode="External" /><Relationship Type="http://schemas.openxmlformats.org/officeDocument/2006/relationships/hyperlink" Id="rId284" Target="https://www.ecfr.gov/current/title-32/section-2002.14" TargetMode="External" /><Relationship Type="http://schemas.openxmlformats.org/officeDocument/2006/relationships/hyperlink" Id="rId394" Target="https://www.ecfr.gov/current/title-32/section-2002.2" TargetMode="External" /><Relationship Type="http://schemas.openxmlformats.org/officeDocument/2006/relationships/hyperlink" Id="rId304" Target="https://www.ecfr.gov/current/title-32/section-2002.20" TargetMode="External" /><Relationship Type="http://schemas.openxmlformats.org/officeDocument/2006/relationships/hyperlink" Id="rId593" Target="https://www.ecfr.gov/current/title-41/section-201-1.201" TargetMode="External" /><Relationship Type="http://schemas.openxmlformats.org/officeDocument/2006/relationships/hyperlink" Id="rId589" Target="https://www.ecfr.gov/current/title-41/section-201-1.304" TargetMode="External" /><Relationship Type="http://schemas.openxmlformats.org/officeDocument/2006/relationships/hyperlink" Id="rId75" Target="https://www.ecfr.gov/current/title-5/chapter-I/subchapter-B/part-930/subpart-C/section-930.301" TargetMode="External" /><Relationship Type="http://schemas.openxmlformats.org/officeDocument/2006/relationships/hyperlink" Id="rId426" Target="https://www.ecfr.gov/current/title-5/section-1400.201" TargetMode="External" /><Relationship Type="http://schemas.openxmlformats.org/officeDocument/2006/relationships/hyperlink" Id="rId425" Target="https://www.ecfr.gov/current/title-5/section-731.106" TargetMode="External" /><Relationship Type="http://schemas.openxmlformats.org/officeDocument/2006/relationships/hyperlink" Id="rId386" Target="https://www.federalregister.gov/documents/2011/10/13/2011-26729/structural-reforms-to-improve-the-security-of-classified-networks-and-the-responsible-sharing-and" TargetMode="External" /><Relationship Type="http://schemas.openxmlformats.org/officeDocument/2006/relationships/hyperlink" Id="rId485" Target="https://www.fedramp.gov/2026/authority/m-24-15/" TargetMode="External" /><Relationship Type="http://schemas.openxmlformats.org/officeDocument/2006/relationships/hyperlink" Id="rId588" Target="https://www.govinfo.gov/link/uscode/41/1323?link-type=html" TargetMode="External" /><Relationship Type="http://schemas.openxmlformats.org/officeDocument/2006/relationships/hyperlink" Id="rId581" Target="https://www.govinfo.gov/link/uscode/41/1326?link-type=html" TargetMode="External" /><Relationship Type="http://schemas.openxmlformats.org/officeDocument/2006/relationships/hyperlink" Id="rId582" Target="https://www.govinfo.gov/link/uscode/41/1328?link-type=html" TargetMode="External" /><Relationship Type="http://schemas.openxmlformats.org/officeDocument/2006/relationships/hyperlink" Id="rId351" Target="https://www.govinfo.gov/link/uscode/5/6502?link-type=html" TargetMode="External" /><Relationship Type="http://schemas.openxmlformats.org/officeDocument/2006/relationships/hyperlink" Id="rId478" Target="https://www.idmanagement.gov/fips201/" TargetMode="External" /><Relationship Type="http://schemas.openxmlformats.org/officeDocument/2006/relationships/hyperlink" Id="rId83" Target="https://www.nist.gov/itl/applied-cybersecurity/nice/nice-framework-resource-center/nice-framework-current-versions" TargetMode="External" /><Relationship Type="http://schemas.openxmlformats.org/officeDocument/2006/relationships/hyperlink" Id="rId427" Target="https://www.opm.gov/suitability/suitability-executive-agent/position-designation-tool/" TargetMode="External" /><Relationship Type="http://schemas.openxmlformats.org/officeDocument/2006/relationships/hyperlink" Id="rId288" Target="https://www.whitehouse.gov/wp-content/uploads/2019/05/M-19-17.pdf" TargetMode="External" /><Relationship Type="http://schemas.openxmlformats.org/officeDocument/2006/relationships/hyperlink" Id="rId287" Target="https://www.whitehouse.gov/wp-content/uploads/2022/01/M-22-09.pdf" TargetMode="External" /><Relationship Type="http://schemas.openxmlformats.org/officeDocument/2006/relationships/hyperlink" Id="rId402" Target="https://www.whitehouse.gov/wp-content/uploads/2023/09/M-23-22-Delivering-a-Digital-First-Public-Experience.pdf" TargetMode="External" /><Relationship Type="http://schemas.openxmlformats.org/officeDocument/2006/relationships/hyperlink" Id="rId471" Target="https://www.whitehouse.gov/wp-content/uploads/2026/01/M-26-05-Adopting-a-Risk-based-Approach-to-Software-and-Hardware-Security.pdf" TargetMode="External" /><Relationship Type="http://schemas.openxmlformats.org/officeDocument/2006/relationships/hyperlink" Id="rId113" Target="https://www.whitehouse.gov/wp-content/uploads/2026/05/M-26-14-Ensuring-Effective-and-Efficient-Agency-Logging-and-Network-Visibility-to-Defend-Against-Evolving-Cyber-Threats.pdf" TargetMode="External" /><Relationship Type="http://schemas.openxmlformats.org/officeDocument/2006/relationships/hyperlink" Id="rId289" Target="https://www.whitehouse.gov/wp-content/uploads/2026/08/M-26-18-Scaling-Use-of-Login.gov-to-Deliver-a-Universal-Sign-on-for-Public-Services.pdf" TargetMode="External" /><Relationship Type="http://schemas.openxmlformats.org/officeDocument/2006/relationships/hyperlink" Id="rId7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