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2"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Contingency Planning (CP)</w:t>
            </w:r>
          </w:p>
        </w:tc>
        <w:tc>
          <w:tcPr/>
          <w:p>
            <w:pPr>
              <w:pStyle w:val="Compact"/>
            </w:pPr>
            <w:r>
              <w:t xml:space="preserve">CP-1</w:t>
            </w:r>
          </w:p>
        </w:tc>
        <w:tc>
          <w:tcPr/>
          <w:p>
            <w:pPr>
              <w:pStyle w:val="Compact"/>
            </w:pPr>
            <w:r>
              <w:rPr>
                <w:rStyle w:val="Fill-in"/>
              </w:rPr>
              <w:t xml:space="preserve">[Chief Information Security Officer]</w:t>
            </w:r>
          </w:p>
        </w:tc>
      </w:tr>
      <w:tr>
        <w:tc>
          <w:tcPr/>
          <w:p>
            <w:pPr>
              <w:pStyle w:val="Compact"/>
            </w:pPr>
            <w:r>
              <w:t xml:space="preserve">Identification and Authentication (IA)</w:t>
            </w:r>
          </w:p>
        </w:tc>
        <w:tc>
          <w:tcPr/>
          <w:p>
            <w:pPr>
              <w:pStyle w:val="Compact"/>
            </w:pPr>
            <w:r>
              <w:t xml:space="preserve">IA-1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Maintenance (MA)</w:t>
            </w:r>
          </w:p>
        </w:tc>
        <w:tc>
          <w:tcPr/>
          <w:p>
            <w:pPr>
              <w:pStyle w:val="Compact"/>
            </w:pPr>
            <w:r>
              <w:t xml:space="preserve">MA-1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r>
        <w:tc>
          <w:tcPr/>
          <w:p>
            <w:pPr>
              <w:pStyle w:val="Compact"/>
            </w:pPr>
            <w:r>
              <w:t xml:space="preserve">Supply Chain Risk Management (SR)</w:t>
            </w:r>
          </w:p>
        </w:tc>
        <w:tc>
          <w:tcPr/>
          <w:p>
            <w:pPr>
              <w:pStyle w:val="Compact"/>
            </w:pPr>
            <w:r>
              <w:t xml:space="preserve">SR-1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309" w:name="policy-statements"/>
    <w:p>
      <w:pPr>
        <w:pStyle w:val="Heading2"/>
      </w:pPr>
      <w:r>
        <w:t xml:space="preserve">Policy statements</w:t>
      </w:r>
    </w:p>
    <w:bookmarkStart w:id="32" w:name="access-control-ac"/>
    <w:p>
      <w:pPr>
        <w:pStyle w:val="Heading3"/>
      </w:pPr>
      <w:r>
        <w:t xml:space="preserve">Access Control (AC)</w:t>
      </w:r>
    </w:p>
    <w:bookmarkStart w:id="20" w:name="account-management-ac-2"/>
    <w:p>
      <w:pPr>
        <w:pStyle w:val="Heading4"/>
      </w:pPr>
      <w:r>
        <w:t xml:space="preserve">Account management (AC-2)</w:t>
      </w:r>
    </w:p>
    <w:p>
      <w:pPr>
        <w:pStyle w:val="Compact"/>
        <w:numPr>
          <w:ilvl w:val="0"/>
          <w:numId w:val="1005"/>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5"/>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5"/>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5"/>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5"/>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5"/>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5"/>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5"/>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5"/>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bookmarkEnd w:id="20"/>
    <w:bookmarkStart w:id="21" w:name="access-enforcement-ac-3"/>
    <w:p>
      <w:pPr>
        <w:pStyle w:val="Heading4"/>
      </w:pPr>
      <w:r>
        <w:t xml:space="preserve">Access enforcement (AC-3)</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1"/>
    <w:bookmarkStart w:id="22" w:name="unsuccessful-logon-attempts-ac-7"/>
    <w:p>
      <w:pPr>
        <w:pStyle w:val="Heading4"/>
      </w:pPr>
      <w:r>
        <w:t xml:space="preserve">Unsuccessful logon attempts (AC-7)</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22"/>
    <w:bookmarkStart w:id="25" w:name="system-use-notification-ac-8"/>
    <w:p>
      <w:pPr>
        <w:pStyle w:val="Heading4"/>
      </w:pPr>
      <w:r>
        <w:t xml:space="preserve">System use notification (AC-8)</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08"/>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08"/>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08"/>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08"/>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24" w:name="federal-systems"/>
    <w:p>
      <w:pPr>
        <w:pStyle w:val="Heading5"/>
      </w:pPr>
      <w:r>
        <w:t xml:space="preserve">Federal systems</w:t>
      </w:r>
    </w:p>
    <w:p>
      <w:pPr>
        <w:pStyle w:val="FirstParagraph"/>
      </w:pPr>
      <w:r>
        <w:t xml:space="preserve">SP 800-53 Rev. 5 AC-8a requires the notice on federal systems to state two more things (</w:t>
      </w:r>
      <w:hyperlink r:id="rId23">
        <w:r>
          <w:rPr>
            <w:rStyle w:val="Hyperlink"/>
          </w:rPr>
          <w:t xml:space="preserve">AC-8</w:t>
        </w:r>
      </w:hyperlink>
      <w:r>
        <w:t xml:space="preserve">).</w:t>
      </w:r>
    </w:p>
    <w:p>
      <w:pPr>
        <w:pStyle w:val="Compact"/>
        <w:numPr>
          <w:ilvl w:val="0"/>
          <w:numId w:val="1009"/>
        </w:numPr>
      </w:pPr>
      <w:r>
        <w:t xml:space="preserve">The notice shall state that users are accessing a U.S. Government system. (AC-8a.1)</w:t>
      </w:r>
    </w:p>
    <w:p>
      <w:pPr>
        <w:pStyle w:val="Compact"/>
        <w:numPr>
          <w:ilvl w:val="0"/>
          <w:numId w:val="1009"/>
        </w:numPr>
      </w:pPr>
      <w:r>
        <w:t xml:space="preserve">The notice shall state that unauthorized use of the system is subject to criminal and civil penalties. (AC-8a.3)</w:t>
      </w:r>
    </w:p>
    <w:bookmarkEnd w:id="24"/>
    <w:bookmarkEnd w:id="25"/>
    <w:bookmarkStart w:id="26" w:name="Xf121a6090dc4fed50eb726d5cb35d35e0a89f04"/>
    <w:p>
      <w:pPr>
        <w:pStyle w:val="Heading4"/>
      </w:pPr>
      <w:r>
        <w:t xml:space="preserve">Permitted actions without identification or authentication (AC-14)</w:t>
      </w:r>
    </w:p>
    <w:p>
      <w:pPr>
        <w:pStyle w:val="Compact"/>
        <w:numPr>
          <w:ilvl w:val="0"/>
          <w:numId w:val="1010"/>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10"/>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26"/>
    <w:bookmarkStart w:id="27" w:name="remote-access-ac-17"/>
    <w:p>
      <w:pPr>
        <w:pStyle w:val="Heading4"/>
      </w:pPr>
      <w:r>
        <w:t xml:space="preserve">Remote access (AC-17)</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11"/>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27"/>
    <w:bookmarkStart w:id="28" w:name="wireless-access-ac-18"/>
    <w:p>
      <w:pPr>
        <w:pStyle w:val="Heading4"/>
      </w:pPr>
      <w:r>
        <w:t xml:space="preserve">Wireless access (AC-18)</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12"/>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28"/>
    <w:bookmarkStart w:id="29" w:name="access-control-for-mobile-devices-ac-19"/>
    <w:p>
      <w:pPr>
        <w:pStyle w:val="Heading4"/>
      </w:pPr>
      <w:r>
        <w:t xml:space="preserve">Access control for mobile devices (AC-19)</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13"/>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29"/>
    <w:bookmarkStart w:id="30" w:name="use-of-external-systems-ac-20"/>
    <w:p>
      <w:pPr>
        <w:pStyle w:val="Heading4"/>
      </w:pPr>
      <w:r>
        <w:t xml:space="preserve">Use of external systems (AC-20)</w:t>
      </w:r>
    </w:p>
    <w:p>
      <w:pPr>
        <w:pStyle w:val="Compact"/>
        <w:numPr>
          <w:ilvl w:val="0"/>
          <w:numId w:val="1014"/>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14"/>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30"/>
    <w:bookmarkStart w:id="31" w:name="publicly-accessible-content-ac-22"/>
    <w:p>
      <w:pPr>
        <w:pStyle w:val="Heading4"/>
      </w:pPr>
      <w:r>
        <w:t xml:space="preserve">Publicly accessible content (AC-22)</w:t>
      </w:r>
    </w:p>
    <w:p>
      <w:pPr>
        <w:pStyle w:val="Compact"/>
        <w:numPr>
          <w:ilvl w:val="0"/>
          <w:numId w:val="1015"/>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15"/>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15"/>
        </w:numPr>
      </w:pPr>
      <w:r>
        <w:t xml:space="preserve">The designated individuals shall review proposed content for nonpublic information before posting it on the publicly accessible system. (AC-22c)</w:t>
      </w:r>
    </w:p>
    <w:p>
      <w:pPr>
        <w:pStyle w:val="Compact"/>
        <w:numPr>
          <w:ilvl w:val="0"/>
          <w:numId w:val="1015"/>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15"/>
        </w:numPr>
      </w:pPr>
      <w:r>
        <w:t xml:space="preserve">The designated individuals shall remove nonpublic information when a review discovers it. (AC-22d)</w:t>
      </w:r>
    </w:p>
    <w:bookmarkEnd w:id="31"/>
    <w:bookmarkEnd w:id="32"/>
    <w:bookmarkStart w:id="44" w:name="awareness-and-training-at"/>
    <w:p>
      <w:pPr>
        <w:pStyle w:val="Heading3"/>
      </w:pPr>
      <w:r>
        <w:t xml:space="preserve">Awareness and Training (AT)</w:t>
      </w:r>
    </w:p>
    <w:bookmarkStart w:id="37" w:name="literacy-training-and-awareness-at-2"/>
    <w:p>
      <w:pPr>
        <w:pStyle w:val="Heading4"/>
      </w:pPr>
      <w:r>
        <w:t xml:space="preserve">Literacy training and awareness (AT-2)</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16"/>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16"/>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36" w:name="federal-systems-1"/>
    <w:p>
      <w:pPr>
        <w:pStyle w:val="Heading5"/>
      </w:pPr>
      <w:r>
        <w:t xml:space="preserve">Federal systems</w:t>
      </w:r>
    </w:p>
    <w:p>
      <w:pPr>
        <w:pStyle w:val="FirstParagraph"/>
      </w:pPr>
      <w:hyperlink r:id="rId33">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34">
        <w:r>
          <w:rPr>
            <w:rStyle w:val="Hyperlink"/>
          </w:rPr>
          <w:t xml:space="preserve">44 U.S.C. § 3554(b)(4)</w:t>
        </w:r>
      </w:hyperlink>
      <w:r>
        <w:t xml:space="preserve"> </w:t>
      </w:r>
      <w:r>
        <w:t xml:space="preserve">requires security awareness training for personnel, including contractors and other users.</w:t>
      </w:r>
      <w:r>
        <w:t xml:space="preserve"> </w:t>
      </w:r>
      <w:hyperlink r:id="rId35">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17"/>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36"/>
    <w:bookmarkEnd w:id="37"/>
    <w:bookmarkStart w:id="38" w:name="insider-threat-at-22"/>
    <w:p>
      <w:pPr>
        <w:pStyle w:val="Heading4"/>
      </w:pPr>
      <w:r>
        <w:t xml:space="preserve">Insider threat (AT-2(2))</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38"/>
    <w:bookmarkStart w:id="40" w:name="role-based-training-at-3"/>
    <w:p>
      <w:pPr>
        <w:pStyle w:val="Heading4"/>
      </w:pPr>
      <w:r>
        <w:t xml:space="preserve">Role-based training (AT-3)</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19"/>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19"/>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19"/>
        </w:numPr>
      </w:pPr>
      <w:r>
        <w:t xml:space="preserve">Role-based training shall also be provided when system changes require it. (AT-3a.2)</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39" w:name="federal-systems-2"/>
    <w:p>
      <w:pPr>
        <w:pStyle w:val="Heading5"/>
      </w:pPr>
      <w:r>
        <w:t xml:space="preserve">Federal systems</w:t>
      </w:r>
    </w:p>
    <w:p>
      <w:pPr>
        <w:pStyle w:val="FirstParagraph"/>
      </w:pPr>
      <w:hyperlink r:id="rId33">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35">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20"/>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39"/>
    <w:bookmarkEnd w:id="40"/>
    <w:bookmarkStart w:id="43" w:name="training-records-at-4"/>
    <w:p>
      <w:pPr>
        <w:pStyle w:val="Heading4"/>
      </w:pPr>
      <w:r>
        <w:t xml:space="preserve">Training records (AT-4)</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42" w:name="federal-systems-3"/>
    <w:p>
      <w:pPr>
        <w:pStyle w:val="Heading5"/>
      </w:pPr>
      <w:r>
        <w:t xml:space="preserve">Federal systems</w:t>
      </w:r>
    </w:p>
    <w:p>
      <w:pPr>
        <w:pStyle w:val="FirstParagraph"/>
      </w:pPr>
      <w:r>
        <w:t xml:space="preserve">The NARA</w:t>
      </w:r>
      <w:r>
        <w:t xml:space="preserve"> </w:t>
      </w:r>
      <w:hyperlink r:id="rId41">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42"/>
    <w:bookmarkEnd w:id="43"/>
    <w:bookmarkEnd w:id="44"/>
    <w:bookmarkStart w:id="56" w:name="audit-and-accountability-au"/>
    <w:p>
      <w:pPr>
        <w:pStyle w:val="Heading3"/>
      </w:pPr>
      <w:r>
        <w:t xml:space="preserve">Audit and Accountability (AU)</w:t>
      </w:r>
    </w:p>
    <w:bookmarkStart w:id="45" w:name="event-logging-au-2"/>
    <w:p>
      <w:pPr>
        <w:pStyle w:val="Heading4"/>
      </w:pPr>
      <w:r>
        <w:t xml:space="preserve">Event logging (AU-2)</w:t>
      </w:r>
    </w:p>
    <w:p>
      <w:pPr>
        <w:pStyle w:val="Compact"/>
        <w:numPr>
          <w:ilvl w:val="0"/>
          <w:numId w:val="1023"/>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23"/>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23"/>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23"/>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45"/>
    <w:bookmarkStart w:id="46" w:name="content-of-audit-records-au-3"/>
    <w:p>
      <w:pPr>
        <w:pStyle w:val="Heading4"/>
      </w:pPr>
      <w:r>
        <w:t xml:space="preserve">Content of audit records (AU-3)</w:t>
      </w:r>
    </w:p>
    <w:p>
      <w:pPr>
        <w:pStyle w:val="Compact"/>
        <w:numPr>
          <w:ilvl w:val="0"/>
          <w:numId w:val="1024"/>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46"/>
    <w:bookmarkStart w:id="47" w:name="audit-log-storage-capacity-au-4"/>
    <w:p>
      <w:pPr>
        <w:pStyle w:val="Heading4"/>
      </w:pPr>
      <w:r>
        <w:t xml:space="preserve">Audit log storage capacity (AU-4)</w:t>
      </w:r>
    </w:p>
    <w:p>
      <w:pPr>
        <w:pStyle w:val="Compact"/>
        <w:numPr>
          <w:ilvl w:val="0"/>
          <w:numId w:val="1025"/>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47"/>
    <w:bookmarkStart w:id="48" w:name="X0c3d6e0ff501d0227ddf7f72c3b8ff903e18446"/>
    <w:p>
      <w:pPr>
        <w:pStyle w:val="Heading4"/>
      </w:pPr>
      <w:r>
        <w:t xml:space="preserve">Response to audit logging process failures (AU-5)</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26"/>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48"/>
    <w:bookmarkStart w:id="49" w:name="X937e91f9c44195ea7a0333189012736b1eb96cb"/>
    <w:p>
      <w:pPr>
        <w:pStyle w:val="Heading4"/>
      </w:pPr>
      <w:r>
        <w:t xml:space="preserve">Audit record review, analysis and reporting (AU-6)</w:t>
      </w:r>
    </w:p>
    <w:p>
      <w:pPr>
        <w:pStyle w:val="Compact"/>
        <w:numPr>
          <w:ilvl w:val="0"/>
          <w:numId w:val="1027"/>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27"/>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27"/>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49"/>
    <w:bookmarkStart w:id="50" w:name="time-stamps-au-8"/>
    <w:p>
      <w:pPr>
        <w:pStyle w:val="Heading4"/>
      </w:pPr>
      <w:r>
        <w:t xml:space="preserve">Time stamps (AU-8)</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28"/>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50"/>
    <w:bookmarkStart w:id="51" w:name="protection-of-audit-information-au-9"/>
    <w:p>
      <w:pPr>
        <w:pStyle w:val="Heading4"/>
      </w:pPr>
      <w:r>
        <w:t xml:space="preserve">Protection of audit information (AU-9)</w:t>
      </w:r>
    </w:p>
    <w:p>
      <w:pPr>
        <w:pStyle w:val="Compact"/>
        <w:numPr>
          <w:ilvl w:val="0"/>
          <w:numId w:val="1029"/>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29"/>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51"/>
    <w:bookmarkStart w:id="54" w:name="audit-record-retention-au-11"/>
    <w:p>
      <w:pPr>
        <w:pStyle w:val="Heading4"/>
      </w:pPr>
      <w:r>
        <w:t xml:space="preserve">Audit record retention (AU-11)</w:t>
      </w:r>
    </w:p>
    <w:p>
      <w:pPr>
        <w:pStyle w:val="Compact"/>
        <w:numPr>
          <w:ilvl w:val="0"/>
          <w:numId w:val="1030"/>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53" w:name="federal-systems-4"/>
    <w:p>
      <w:pPr>
        <w:pStyle w:val="Heading5"/>
      </w:pPr>
      <w:r>
        <w:t xml:space="preserve">Federal systems</w:t>
      </w:r>
    </w:p>
    <w:p>
      <w:pPr>
        <w:pStyle w:val="FirstParagraph"/>
      </w:pPr>
      <w:hyperlink r:id="rId52">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31"/>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53"/>
    <w:bookmarkEnd w:id="54"/>
    <w:bookmarkStart w:id="55" w:name="audit-record-generation-au-12"/>
    <w:p>
      <w:pPr>
        <w:pStyle w:val="Heading4"/>
      </w:pPr>
      <w:r>
        <w:t xml:space="preserve">Audit record generation (AU-12)</w:t>
      </w:r>
    </w:p>
    <w:p>
      <w:pPr>
        <w:pStyle w:val="Compact"/>
        <w:numPr>
          <w:ilvl w:val="0"/>
          <w:numId w:val="1032"/>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32"/>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55"/>
    <w:bookmarkEnd w:id="56"/>
    <w:bookmarkStart w:id="70" w:name="Xbad736905af50b0219799eae2922f54035e358f"/>
    <w:p>
      <w:pPr>
        <w:pStyle w:val="Heading3"/>
      </w:pPr>
      <w:r>
        <w:t xml:space="preserve">Assessment, Authorization, and Monitoring (CA)</w:t>
      </w:r>
    </w:p>
    <w:bookmarkStart w:id="58" w:name="control-assessments-ca-2"/>
    <w:p>
      <w:pPr>
        <w:pStyle w:val="Heading4"/>
      </w:pPr>
      <w:r>
        <w:t xml:space="preserve">Control assessments (CA-2)</w:t>
      </w:r>
    </w:p>
    <w:p>
      <w:pPr>
        <w:pStyle w:val="Compact"/>
        <w:numPr>
          <w:ilvl w:val="0"/>
          <w:numId w:val="1033"/>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33"/>
        </w:numPr>
      </w:pPr>
      <w:r>
        <w:t xml:space="preserve">The assessor shall develop an assessment plan that names the controls and control enhancements under assessment. (CA-2b.1)</w:t>
      </w:r>
    </w:p>
    <w:p>
      <w:pPr>
        <w:pStyle w:val="Compact"/>
        <w:numPr>
          <w:ilvl w:val="0"/>
          <w:numId w:val="1033"/>
        </w:numPr>
      </w:pPr>
      <w:r>
        <w:t xml:space="preserve">The assessment plan shall describe the assessment procedures used to determine control effectiveness. (CA-2b.2)</w:t>
      </w:r>
    </w:p>
    <w:p>
      <w:pPr>
        <w:pStyle w:val="Compact"/>
        <w:numPr>
          <w:ilvl w:val="0"/>
          <w:numId w:val="1033"/>
        </w:numPr>
      </w:pPr>
      <w:r>
        <w:t xml:space="preserve">The assessment plan shall describe the assessment environment, the assessment team, and the assessment roles and responsibilities. (CA-2b.3)</w:t>
      </w:r>
    </w:p>
    <w:p>
      <w:pPr>
        <w:pStyle w:val="Compact"/>
        <w:numPr>
          <w:ilvl w:val="0"/>
          <w:numId w:val="1033"/>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33"/>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33"/>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33"/>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33"/>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57"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34">
        <w:r>
          <w:rPr>
            <w:rStyle w:val="Hyperlink"/>
          </w:rPr>
          <w:t xml:space="preserve">44 U.S.C. § 3554(b)(5)</w:t>
        </w:r>
      </w:hyperlink>
      <w:r>
        <w:t xml:space="preserve">).</w:t>
      </w:r>
      <w:r>
        <w:t xml:space="preserve"> </w:t>
      </w:r>
      <w:hyperlink r:id="rId35">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57"/>
    <w:bookmarkEnd w:id="58"/>
    <w:bookmarkStart w:id="60" w:name="information-exchange-ca-3"/>
    <w:p>
      <w:pPr>
        <w:pStyle w:val="Heading4"/>
      </w:pPr>
      <w:r>
        <w:t xml:space="preserve">Information exchange (CA-3)</w:t>
      </w:r>
    </w:p>
    <w:p>
      <w:pPr>
        <w:pStyle w:val="Compact"/>
        <w:numPr>
          <w:ilvl w:val="0"/>
          <w:numId w:val="1035"/>
        </w:numPr>
      </w:pPr>
      <w:r>
        <w:t xml:space="preserve">The authorizing official shall approve each exchange of information between the system and another system before the exchange begins. (CA-3a)</w:t>
      </w:r>
    </w:p>
    <w:p>
      <w:pPr>
        <w:pStyle w:val="Compact"/>
        <w:numPr>
          <w:ilvl w:val="0"/>
          <w:numId w:val="1035"/>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35"/>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35"/>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35"/>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35"/>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59" w:name="federal-systems-6"/>
    <w:p>
      <w:pPr>
        <w:pStyle w:val="Heading5"/>
      </w:pPr>
      <w:r>
        <w:t xml:space="preserve">Federal systems</w:t>
      </w:r>
    </w:p>
    <w:p>
      <w:pPr>
        <w:pStyle w:val="FirstParagraph"/>
      </w:pPr>
      <w:hyperlink r:id="rId35">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36"/>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36"/>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59"/>
    <w:bookmarkEnd w:id="60"/>
    <w:bookmarkStart w:id="62" w:name="plan-of-action-and-milestones-ca-5"/>
    <w:p>
      <w:pPr>
        <w:pStyle w:val="Heading4"/>
      </w:pPr>
      <w:r>
        <w:t xml:space="preserve">Plan of action and milestones (CA-5)</w:t>
      </w:r>
    </w:p>
    <w:p>
      <w:pPr>
        <w:pStyle w:val="Compact"/>
        <w:numPr>
          <w:ilvl w:val="0"/>
          <w:numId w:val="1037"/>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37"/>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37"/>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37"/>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61" w:name="federal-systems-7"/>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34">
        <w:r>
          <w:rPr>
            <w:rStyle w:val="Hyperlink"/>
          </w:rPr>
          <w:t xml:space="preserve">44 U.S.C. § 3554(b)(6)</w:t>
        </w:r>
      </w:hyperlink>
      <w:r>
        <w:t xml:space="preserve">).</w:t>
      </w:r>
      <w:r>
        <w:t xml:space="preserve"> </w:t>
      </w:r>
      <w:hyperlink r:id="rId35">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38"/>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38"/>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61"/>
    <w:bookmarkEnd w:id="62"/>
    <w:bookmarkStart w:id="65" w:name="authorization-ca-6"/>
    <w:p>
      <w:pPr>
        <w:pStyle w:val="Heading4"/>
      </w:pPr>
      <w:r>
        <w:t xml:space="preserve">Authorization (CA-6)</w:t>
      </w:r>
    </w:p>
    <w:p>
      <w:pPr>
        <w:pStyle w:val="Compact"/>
        <w:numPr>
          <w:ilvl w:val="0"/>
          <w:numId w:val="1039"/>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39"/>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39"/>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39"/>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39"/>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39"/>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39"/>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39"/>
        </w:numPr>
      </w:pPr>
      <w:r>
        <w:t xml:space="preserve">When the authorizing official changes, the new authorizing official shall review the current authorization and either accept the documented risk in a new signed decision or begin a reauthorization. (CA-6e)</w:t>
      </w:r>
    </w:p>
    <w:bookmarkStart w:id="64" w:name="federal-systems-8"/>
    <w:p>
      <w:pPr>
        <w:pStyle w:val="Heading5"/>
      </w:pPr>
      <w:r>
        <w:t xml:space="preserve">Federal systems</w:t>
      </w:r>
    </w:p>
    <w:p>
      <w:pPr>
        <w:pStyle w:val="FirstParagraph"/>
      </w:pPr>
      <w:hyperlink r:id="rId35">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63">
        <w:r>
          <w:rPr>
            <w:rStyle w:val="Hyperlink"/>
          </w:rPr>
          <w:t xml:space="preserve">December 2018</w:t>
        </w:r>
      </w:hyperlink>
      <w:r>
        <w:t xml:space="preserve">, current as of September 2026) describes the authorization tasks. As of September 2026.</w:t>
      </w:r>
    </w:p>
    <w:p>
      <w:pPr>
        <w:pStyle w:val="Compact"/>
        <w:numPr>
          <w:ilvl w:val="0"/>
          <w:numId w:val="1040"/>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40"/>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40"/>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64"/>
    <w:bookmarkEnd w:id="65"/>
    <w:bookmarkStart w:id="67" w:name="continuous-monitoring-ca-7"/>
    <w:p>
      <w:pPr>
        <w:pStyle w:val="Heading4"/>
      </w:pPr>
      <w:r>
        <w:t xml:space="preserve">Continuous monitoring (CA-7)</w:t>
      </w:r>
    </w:p>
    <w:p>
      <w:pPr>
        <w:pStyle w:val="Compact"/>
        <w:numPr>
          <w:ilvl w:val="0"/>
          <w:numId w:val="1041"/>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41"/>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41"/>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41"/>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41"/>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41"/>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41"/>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41"/>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41"/>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41"/>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41"/>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66" w:name="federal-systems-9"/>
    <w:p>
      <w:pPr>
        <w:pStyle w:val="Heading5"/>
      </w:pPr>
      <w:r>
        <w:t xml:space="preserve">Federal systems</w:t>
      </w:r>
    </w:p>
    <w:p>
      <w:pPr>
        <w:pStyle w:val="FirstParagraph"/>
      </w:pPr>
      <w:hyperlink r:id="rId35">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42"/>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42"/>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66"/>
    <w:bookmarkEnd w:id="67"/>
    <w:bookmarkStart w:id="68" w:name="risk-monitoring-ca-74"/>
    <w:p>
      <w:pPr>
        <w:pStyle w:val="Heading4"/>
      </w:pPr>
      <w:r>
        <w:t xml:space="preserve">Risk monitoring (CA-7(4))</w:t>
      </w:r>
    </w:p>
    <w:p>
      <w:pPr>
        <w:pStyle w:val="Compact"/>
        <w:numPr>
          <w:ilvl w:val="0"/>
          <w:numId w:val="1043"/>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43"/>
        </w:numPr>
      </w:pPr>
      <w:r>
        <w:t xml:space="preserve">The strategy shall include effectiveness monitoring, to determine whether the implemented risk response measures remain effective. (CA-7(4)(a))</w:t>
      </w:r>
    </w:p>
    <w:p>
      <w:pPr>
        <w:pStyle w:val="Compact"/>
        <w:numPr>
          <w:ilvl w:val="0"/>
          <w:numId w:val="1043"/>
        </w:numPr>
      </w:pPr>
      <w:r>
        <w:t xml:space="preserve">The strategy shall include compliance monitoring, to verify that required risk response measures are implemented and that security and privacy requirements are satisfied. (CA-7(4)(b))</w:t>
      </w:r>
    </w:p>
    <w:p>
      <w:pPr>
        <w:pStyle w:val="Compact"/>
        <w:numPr>
          <w:ilvl w:val="0"/>
          <w:numId w:val="1043"/>
        </w:numPr>
      </w:pPr>
      <w:r>
        <w:t xml:space="preserve">The strategy shall include change monitoring, to identify changes to the system and its environment of operation that may affect security and privacy risk. (CA-7(4)(c))</w:t>
      </w:r>
    </w:p>
    <w:bookmarkEnd w:id="68"/>
    <w:bookmarkStart w:id="69" w:name="internal-system-connections-ca-9"/>
    <w:p>
      <w:pPr>
        <w:pStyle w:val="Heading4"/>
      </w:pPr>
      <w:r>
        <w:t xml:space="preserve">Internal system connections (CA-9)</w:t>
      </w:r>
    </w:p>
    <w:p>
      <w:pPr>
        <w:pStyle w:val="Compact"/>
        <w:numPr>
          <w:ilvl w:val="0"/>
          <w:numId w:val="1044"/>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44"/>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44"/>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44"/>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69"/>
    <w:bookmarkEnd w:id="70"/>
    <w:bookmarkStart w:id="79" w:name="configuration-management-cm"/>
    <w:p>
      <w:pPr>
        <w:pStyle w:val="Heading3"/>
      </w:pPr>
      <w:r>
        <w:t xml:space="preserve">Configuration Management (CM)</w:t>
      </w:r>
    </w:p>
    <w:bookmarkStart w:id="71" w:name="baseline-configuration-cm-2"/>
    <w:p>
      <w:pPr>
        <w:pStyle w:val="Heading4"/>
      </w:pPr>
      <w:r>
        <w:t xml:space="preserve">Baseline configuration (CM-2)</w:t>
      </w:r>
    </w:p>
    <w:p>
      <w:pPr>
        <w:pStyle w:val="Compact"/>
        <w:numPr>
          <w:ilvl w:val="0"/>
          <w:numId w:val="1045"/>
        </w:numPr>
      </w:pPr>
      <w:r>
        <w:t xml:space="preserve">The</w:t>
      </w:r>
      <w:r>
        <w:t xml:space="preserve"> </w:t>
      </w:r>
      <w:r>
        <w:rPr>
          <w:rStyle w:val="Fill-in"/>
        </w:rPr>
        <w:t xml:space="preserve">[System owner]</w:t>
      </w:r>
      <w:r>
        <w:t xml:space="preserve"> </w:t>
      </w:r>
      <w:r>
        <w:t xml:space="preserve">shall develop, document and maintain under configuration control a current baseline configuration of the system. (CM-2a)</w:t>
      </w:r>
    </w:p>
    <w:p>
      <w:pPr>
        <w:pStyle w:val="Compact"/>
        <w:numPr>
          <w:ilvl w:val="0"/>
          <w:numId w:val="1045"/>
        </w:numPr>
      </w:pPr>
      <w:r>
        <w:t xml:space="preserve">The</w:t>
      </w:r>
      <w:r>
        <w:t xml:space="preserve"> </w:t>
      </w:r>
      <w:r>
        <w:rPr>
          <w:rStyle w:val="Fill-in"/>
        </w:rPr>
        <w:t xml:space="preserve">[System owner]</w:t>
      </w:r>
      <w:r>
        <w:t xml:space="preserve"> </w:t>
      </w:r>
      <w:r>
        <w:t xml:space="preserve">shall review and update the baseline configuration</w:t>
      </w:r>
      <w:r>
        <w:t xml:space="preserve"> </w:t>
      </w:r>
      <w:r>
        <w:rPr>
          <w:rStyle w:val="Fill-in"/>
        </w:rPr>
        <w:t xml:space="preserve">[Fill in: the frequency of baseline configuration review and update. Typical: at least annually]</w:t>
      </w:r>
      <w:r>
        <w:t xml:space="preserve">. (CM-2b.1)</w:t>
      </w:r>
    </w:p>
    <w:p>
      <w:pPr>
        <w:pStyle w:val="Compact"/>
        <w:numPr>
          <w:ilvl w:val="0"/>
          <w:numId w:val="1045"/>
        </w:numPr>
      </w:pPr>
      <w:r>
        <w:t xml:space="preserve">The</w:t>
      </w:r>
      <w:r>
        <w:t xml:space="preserve"> </w:t>
      </w:r>
      <w:r>
        <w:rPr>
          <w:rStyle w:val="Fill-in"/>
        </w:rPr>
        <w:t xml:space="preserve">[System owner]</w:t>
      </w:r>
      <w:r>
        <w:t xml:space="preserve"> </w:t>
      </w:r>
      <w:r>
        <w:t xml:space="preserve">shall review and update the baseline configuration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(CM-2b.2)</w:t>
      </w:r>
    </w:p>
    <w:p>
      <w:pPr>
        <w:pStyle w:val="Compact"/>
        <w:numPr>
          <w:ilvl w:val="0"/>
          <w:numId w:val="1045"/>
        </w:numPr>
      </w:pPr>
      <w:r>
        <w:t xml:space="preserve">The</w:t>
      </w:r>
      <w:r>
        <w:t xml:space="preserve"> </w:t>
      </w:r>
      <w:r>
        <w:rPr>
          <w:rStyle w:val="Fill-in"/>
        </w:rPr>
        <w:t xml:space="preserve">[System owner]</w:t>
      </w:r>
      <w:r>
        <w:t xml:space="preserve"> </w:t>
      </w:r>
      <w:r>
        <w:t xml:space="preserve">shall review and update the baseline configuration when system components are installed or upgraded. (CM-2b.3)</w:t>
      </w:r>
    </w:p>
    <w:bookmarkEnd w:id="71"/>
    <w:bookmarkStart w:id="72" w:name="impact-analyses-cm-4"/>
    <w:p>
      <w:pPr>
        <w:pStyle w:val="Heading4"/>
      </w:pPr>
      <w:r>
        <w:t xml:space="preserve">Impact analyses (CM-4)</w:t>
      </w:r>
    </w:p>
    <w:p>
      <w:pPr>
        <w:pStyle w:val="Compact"/>
        <w:numPr>
          <w:ilvl w:val="0"/>
          <w:numId w:val="1046"/>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72"/>
    <w:bookmarkStart w:id="73" w:name="access-restrictions-for-change-cm-5"/>
    <w:p>
      <w:pPr>
        <w:pStyle w:val="Heading4"/>
      </w:pPr>
      <w:r>
        <w:t xml:space="preserve">Access restrictions for change (CM-5)</w:t>
      </w:r>
    </w:p>
    <w:p>
      <w:pPr>
        <w:pStyle w:val="Compact"/>
        <w:numPr>
          <w:ilvl w:val="0"/>
          <w:numId w:val="1047"/>
        </w:numPr>
      </w:pPr>
      <w:r>
        <w:t xml:space="preserve">The</w:t>
      </w:r>
      <w:r>
        <w:t xml:space="preserve"> </w:t>
      </w:r>
      <w:r>
        <w:rPr>
          <w:rStyle w:val="Fill-in"/>
        </w:rPr>
        <w:t xml:space="preserve">[System owner]</w:t>
      </w:r>
      <w:r>
        <w:t xml:space="preserve"> </w:t>
      </w:r>
      <w:r>
        <w:t xml:space="preserve">shall define, document, approve and enforce physical and logical access restrictions associated with changes to the system. (CM-5)</w:t>
      </w:r>
    </w:p>
    <w:bookmarkEnd w:id="73"/>
    <w:bookmarkStart w:id="74" w:name="configuration-settings-cm-6"/>
    <w:p>
      <w:pPr>
        <w:pStyle w:val="Heading4"/>
      </w:pPr>
      <w:r>
        <w:t xml:space="preserve">Configuration settings (CM-6)</w:t>
      </w:r>
    </w:p>
    <w:p>
      <w:pPr>
        <w:pStyle w:val="Compact"/>
        <w:numPr>
          <w:ilvl w:val="0"/>
          <w:numId w:val="1048"/>
        </w:numPr>
      </w:pPr>
      <w:r>
        <w:t xml:space="preserve">The</w:t>
      </w:r>
      <w:r>
        <w:t xml:space="preserve"> </w:t>
      </w:r>
      <w:r>
        <w:rPr>
          <w:rStyle w:val="Fill-in"/>
        </w:rPr>
        <w:t xml:space="preserve">[System owner]</w:t>
      </w:r>
      <w:r>
        <w:t xml:space="preserve"> </w:t>
      </w:r>
      <w:r>
        <w:t xml:space="preserve">shall establish and document configuration settings for system components that reflect the most restrictive mode consistent with operational requirements,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(CM-6a)</w:t>
      </w:r>
    </w:p>
    <w:p>
      <w:pPr>
        <w:pStyle w:val="Compact"/>
        <w:numPr>
          <w:ilvl w:val="0"/>
          <w:numId w:val="1048"/>
        </w:numPr>
      </w:pPr>
      <w:r>
        <w:t xml:space="preserve">The</w:t>
      </w:r>
      <w:r>
        <w:t xml:space="preserve"> </w:t>
      </w:r>
      <w:r>
        <w:rPr>
          <w:rStyle w:val="Fill-in"/>
        </w:rPr>
        <w:t xml:space="preserve">[System owner]</w:t>
      </w:r>
      <w:r>
        <w:t xml:space="preserve"> </w:t>
      </w:r>
      <w:r>
        <w:t xml:space="preserve">shall implement the configuration settings. (CM-6b)</w:t>
      </w:r>
    </w:p>
    <w:p>
      <w:pPr>
        <w:pStyle w:val="Compact"/>
        <w:numPr>
          <w:ilvl w:val="0"/>
          <w:numId w:val="1048"/>
        </w:numPr>
      </w:pPr>
      <w:r>
        <w:t xml:space="preserve">The</w:t>
      </w:r>
      <w:r>
        <w:t xml:space="preserve"> </w:t>
      </w:r>
      <w:r>
        <w:rPr>
          <w:rStyle w:val="Fill-in"/>
        </w:rPr>
        <w:t xml:space="preserve">[System owner]</w:t>
      </w:r>
      <w:r>
        <w:t xml:space="preserve"> </w:t>
      </w:r>
      <w:r>
        <w:t xml:space="preserve">shall identify, document and approve any deviation from the established settings for</w:t>
      </w:r>
      <w:r>
        <w:t xml:space="preserve"> </w:t>
      </w:r>
      <w:r>
        <w:rPr>
          <w:rStyle w:val="Fill-in"/>
        </w:rPr>
        <w:t xml:space="preserve">[Fill in: system components for which approval of deviations is needed. Typical: all system components]</w:t>
      </w:r>
      <w:r>
        <w:t xml:space="preserve">,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048"/>
        </w:numPr>
      </w:pPr>
      <w:r>
        <w:t xml:space="preserve">The</w:t>
      </w:r>
      <w:r>
        <w:t xml:space="preserve"> </w:t>
      </w:r>
      <w:r>
        <w:rPr>
          <w:rStyle w:val="Fill-in"/>
        </w:rPr>
        <w:t xml:space="preserve">[System owner]</w:t>
      </w:r>
      <w:r>
        <w:t xml:space="preserve"> </w:t>
      </w:r>
      <w:r>
        <w:t xml:space="preserve">shall monitor and control changes to the configuration settings in accordance with this policy and its procedures. (CM-6d)</w:t>
      </w:r>
    </w:p>
    <w:bookmarkEnd w:id="74"/>
    <w:bookmarkStart w:id="75" w:name="least-functionality-cm-7"/>
    <w:p>
      <w:pPr>
        <w:pStyle w:val="Heading4"/>
      </w:pPr>
      <w:r>
        <w:t xml:space="preserve">Least functionality (CM-7)</w:t>
      </w:r>
    </w:p>
    <w:p>
      <w:pPr>
        <w:pStyle w:val="Compact"/>
        <w:numPr>
          <w:ilvl w:val="0"/>
          <w:numId w:val="1049"/>
        </w:numPr>
      </w:pPr>
      <w:r>
        <w:t xml:space="preserve">The</w:t>
      </w:r>
      <w:r>
        <w:t xml:space="preserve"> </w:t>
      </w:r>
      <w:r>
        <w:rPr>
          <w:rStyle w:val="Fill-in"/>
        </w:rPr>
        <w:t xml:space="preserve">[System owner]</w:t>
      </w:r>
      <w:r>
        <w:t xml:space="preserve"> </w:t>
      </w:r>
      <w:r>
        <w:t xml:space="preserve">shall configure the system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049"/>
        </w:numPr>
      </w:pPr>
      <w:r>
        <w:t xml:space="preserve">The</w:t>
      </w:r>
      <w:r>
        <w:t xml:space="preserve"> </w:t>
      </w:r>
      <w:r>
        <w:rPr>
          <w:rStyle w:val="Fill-in"/>
        </w:rPr>
        <w:t xml:space="preserve">[System owner]</w:t>
      </w:r>
      <w:r>
        <w:t xml:space="preserve"> </w:t>
      </w:r>
      <w:r>
        <w:t xml:space="preserve">shall prohibit or restrict 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(CM-7b)</w:t>
      </w:r>
    </w:p>
    <w:bookmarkEnd w:id="75"/>
    <w:bookmarkStart w:id="76" w:name="system-component-inventory-cm-8"/>
    <w:p>
      <w:pPr>
        <w:pStyle w:val="Heading4"/>
      </w:pPr>
      <w:r>
        <w:t xml:space="preserve">System component inventory (CM-8)</w:t>
      </w:r>
    </w:p>
    <w:p>
      <w:pPr>
        <w:pStyle w:val="Compact"/>
        <w:numPr>
          <w:ilvl w:val="0"/>
          <w:numId w:val="1050"/>
        </w:numPr>
      </w:pPr>
      <w:r>
        <w:t xml:space="preserve">The</w:t>
      </w:r>
      <w:r>
        <w:t xml:space="preserve"> </w:t>
      </w:r>
      <w:r>
        <w:rPr>
          <w:rStyle w:val="Fill-in"/>
        </w:rPr>
        <w:t xml:space="preserve">[System owner]</w:t>
      </w:r>
      <w:r>
        <w:t xml:space="preserve"> </w:t>
      </w:r>
      <w:r>
        <w:t xml:space="preserve">shall develop and document an inventory of system components that accurately reflects the system and includes all its components. (CM-8a.1, a.2)</w:t>
      </w:r>
    </w:p>
    <w:p>
      <w:pPr>
        <w:pStyle w:val="Compact"/>
        <w:numPr>
          <w:ilvl w:val="0"/>
          <w:numId w:val="1050"/>
        </w:numPr>
      </w:pPr>
      <w:r>
        <w:t xml:space="preserve">The</w:t>
      </w:r>
      <w:r>
        <w:t xml:space="preserve"> </w:t>
      </w:r>
      <w:r>
        <w:rPr>
          <w:rStyle w:val="Fill-in"/>
        </w:rPr>
        <w:t xml:space="preserve">[System owner]</w:t>
      </w:r>
      <w:r>
        <w:t xml:space="preserve"> </w:t>
      </w:r>
      <w:r>
        <w:t xml:space="preserve">shall ensure the inventory has no duplicate accounting of components and no components assigned to another system. (CM-8a.3)</w:t>
      </w:r>
    </w:p>
    <w:p>
      <w:pPr>
        <w:pStyle w:val="Compact"/>
        <w:numPr>
          <w:ilvl w:val="0"/>
          <w:numId w:val="1050"/>
        </w:numPr>
      </w:pPr>
      <w:r>
        <w:t xml:space="preserve">The</w:t>
      </w:r>
      <w:r>
        <w:t xml:space="preserve"> </w:t>
      </w:r>
      <w:r>
        <w:rPr>
          <w:rStyle w:val="Fill-in"/>
        </w:rPr>
        <w:t xml:space="preserve">[System owner]</w:t>
      </w:r>
      <w:r>
        <w:t xml:space="preserve"> </w:t>
      </w:r>
      <w:r>
        <w:t xml:space="preserve">shall ensure the inventory is at the level of granularity needed for tracking and reporting. (CM-8a.4)</w:t>
      </w:r>
    </w:p>
    <w:p>
      <w:pPr>
        <w:pStyle w:val="Compact"/>
        <w:numPr>
          <w:ilvl w:val="0"/>
          <w:numId w:val="1050"/>
        </w:numPr>
      </w:pPr>
      <w:r>
        <w:t xml:space="preserve">The</w:t>
      </w:r>
      <w:r>
        <w:t xml:space="preserve"> </w:t>
      </w:r>
      <w:r>
        <w:rPr>
          <w:rStyle w:val="Fill-in"/>
        </w:rPr>
        <w:t xml:space="preserve">[System owner]</w:t>
      </w:r>
      <w:r>
        <w:t xml:space="preserve"> </w:t>
      </w:r>
      <w:r>
        <w:t xml:space="preserve">shall ensure the inventory includes</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050"/>
        </w:numPr>
      </w:pPr>
      <w:r>
        <w:t xml:space="preserve">The</w:t>
      </w:r>
      <w:r>
        <w:t xml:space="preserve"> </w:t>
      </w:r>
      <w:r>
        <w:rPr>
          <w:rStyle w:val="Fill-in"/>
        </w:rPr>
        <w:t xml:space="preserve">[System owner]</w:t>
      </w:r>
      <w:r>
        <w:t xml:space="preserve"> </w:t>
      </w:r>
      <w:r>
        <w:t xml:space="preserve">shall review and update the inventory</w:t>
      </w:r>
      <w:r>
        <w:t xml:space="preserve"> </w:t>
      </w:r>
      <w:r>
        <w:rPr>
          <w:rStyle w:val="Fill-in"/>
        </w:rPr>
        <w:t xml:space="preserve">[Fill in: frequency at which to review and update the system component inventory. Typical: at least quarterly]</w:t>
      </w:r>
      <w:r>
        <w:t xml:space="preserve">. (CM-8b)</w:t>
      </w:r>
    </w:p>
    <w:bookmarkEnd w:id="76"/>
    <w:bookmarkStart w:id="77" w:name="software-usage-restrictions-cm-10"/>
    <w:p>
      <w:pPr>
        <w:pStyle w:val="Heading4"/>
      </w:pPr>
      <w:r>
        <w:t xml:space="preserve">Software usage restrictions (CM-10)</w:t>
      </w:r>
    </w:p>
    <w:p>
      <w:pPr>
        <w:pStyle w:val="Compact"/>
        <w:numPr>
          <w:ilvl w:val="0"/>
          <w:numId w:val="1051"/>
        </w:numPr>
      </w:pPr>
      <w:r>
        <w:t xml:space="preserve">Users shall use software and its documentation in accordance with contract agreements and copyright laws. (CM-10a)</w:t>
      </w:r>
    </w:p>
    <w:p>
      <w:pPr>
        <w:pStyle w:val="Compact"/>
        <w:numPr>
          <w:ilvl w:val="0"/>
          <w:numId w:val="1051"/>
        </w:numPr>
      </w:pPr>
      <w:r>
        <w:t xml:space="preserve">The</w:t>
      </w:r>
      <w:r>
        <w:t xml:space="preserve"> </w:t>
      </w:r>
      <w:r>
        <w:rPr>
          <w:rStyle w:val="Fill-in"/>
        </w:rPr>
        <w:t xml:space="preserve">[System owner]</w:t>
      </w:r>
      <w:r>
        <w:t xml:space="preserve"> </w:t>
      </w:r>
      <w:r>
        <w:t xml:space="preserve">shall track the use of software and documentation protected by quantity licenses to control copying and distribution. (CM-10b)</w:t>
      </w:r>
    </w:p>
    <w:p>
      <w:pPr>
        <w:pStyle w:val="Compact"/>
        <w:numPr>
          <w:ilvl w:val="0"/>
          <w:numId w:val="1051"/>
        </w:numPr>
      </w:pPr>
      <w:r>
        <w:t xml:space="preserve">The</w:t>
      </w:r>
      <w:r>
        <w:t xml:space="preserve"> </w:t>
      </w:r>
      <w:r>
        <w:rPr>
          <w:rStyle w:val="Fill-in"/>
        </w:rPr>
        <w:t xml:space="preserve">[System owner]</w:t>
      </w:r>
      <w:r>
        <w:t xml:space="preserve"> </w:t>
      </w:r>
      <w:r>
        <w:t xml:space="preserve">shall control and document the use of peer-to-peer file sharing technology so that it is not used for unauthorized distribution, display, performance or reproduction of copyrighted work. (CM-10c)</w:t>
      </w:r>
    </w:p>
    <w:bookmarkEnd w:id="77"/>
    <w:bookmarkStart w:id="78" w:name="user-installed-software-cm-11"/>
    <w:p>
      <w:pPr>
        <w:pStyle w:val="Heading4"/>
      </w:pPr>
      <w:r>
        <w:t xml:space="preserve">User-installed software (CM-11)</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establish the following rules for software installation by users:</w:t>
      </w:r>
      <w:r>
        <w:t xml:space="preserve"> </w:t>
      </w:r>
      <w:r>
        <w:rPr>
          <w:rStyle w:val="Fill-in"/>
        </w:rPr>
        <w:t xml:space="preserve">[Fill in: policies governing the installation of software by users. Typical: users may install only software from the organization’s approved software catalog; all other installation requires approval by the system owner]</w:t>
      </w:r>
      <w:r>
        <w:t xml:space="preserve">. (CM-11a)</w:t>
      </w:r>
    </w:p>
    <w:p>
      <w:pPr>
        <w:pStyle w:val="Compact"/>
        <w:numPr>
          <w:ilvl w:val="0"/>
          <w:numId w:val="1052"/>
        </w:numPr>
      </w:pPr>
      <w:r>
        <w:t xml:space="preserve">The</w:t>
      </w:r>
      <w:r>
        <w:t xml:space="preserve"> </w:t>
      </w:r>
      <w:r>
        <w:rPr>
          <w:rStyle w:val="Fill-in"/>
        </w:rPr>
        <w:t xml:space="preserve">[System owner]</w:t>
      </w:r>
      <w:r>
        <w:t xml:space="preserve"> </w:t>
      </w:r>
      <w:r>
        <w:t xml:space="preserve">shall enforce those rules through</w:t>
      </w:r>
      <w:r>
        <w:t xml:space="preserve"> </w:t>
      </w:r>
      <w:r>
        <w:rPr>
          <w:rStyle w:val="Fill-in"/>
        </w:rPr>
        <w:t xml:space="preserve">[Fill in: methods used to enforce software installation policies. Typical: removing local administrator rights and using an application allow list]</w:t>
      </w:r>
      <w:r>
        <w:t xml:space="preserve">. (CM-11b)</w:t>
      </w:r>
    </w:p>
    <w:p>
      <w:pPr>
        <w:pStyle w:val="Compact"/>
        <w:numPr>
          <w:ilvl w:val="0"/>
          <w:numId w:val="1052"/>
        </w:numPr>
      </w:pPr>
      <w:r>
        <w:t xml:space="preserve">The</w:t>
      </w:r>
      <w:r>
        <w:t xml:space="preserve"> </w:t>
      </w:r>
      <w:r>
        <w:rPr>
          <w:rStyle w:val="Fill-in"/>
        </w:rPr>
        <w:t xml:space="preserve">[System owner]</w:t>
      </w:r>
      <w:r>
        <w:t xml:space="preserve"> </w:t>
      </w:r>
      <w:r>
        <w:t xml:space="preserve">shall monitor compliance with those rules</w:t>
      </w:r>
      <w:r>
        <w:t xml:space="preserve"> </w:t>
      </w:r>
      <w:r>
        <w:rPr>
          <w:rStyle w:val="Fill-in"/>
        </w:rPr>
        <w:t xml:space="preserve">[Fill in: frequency with which to monitor compliance. Typical: at least monthly]</w:t>
      </w:r>
      <w:r>
        <w:t xml:space="preserve">. (CM-11c)</w:t>
      </w:r>
    </w:p>
    <w:bookmarkEnd w:id="78"/>
    <w:bookmarkEnd w:id="79"/>
    <w:bookmarkStart w:id="85" w:name="contingency-planning-cp"/>
    <w:p>
      <w:pPr>
        <w:pStyle w:val="Heading3"/>
      </w:pPr>
      <w:r>
        <w:t xml:space="preserve">Contingency Planning (CP)</w:t>
      </w:r>
    </w:p>
    <w:bookmarkStart w:id="80" w:name="contingency-plan-cp-2"/>
    <w:p>
      <w:pPr>
        <w:pStyle w:val="Heading4"/>
      </w:pPr>
      <w:r>
        <w:t xml:space="preserve">Contingency plan (CP-2)</w:t>
      </w:r>
    </w:p>
    <w:p>
      <w:pPr>
        <w:pStyle w:val="Compact"/>
        <w:numPr>
          <w:ilvl w:val="0"/>
          <w:numId w:val="1053"/>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53"/>
        </w:numPr>
      </w:pPr>
      <w:r>
        <w:t xml:space="preserve">The contingency plan shall provide recovery objectives, restoration priorities and metrics. (CP-2a.2)</w:t>
      </w:r>
    </w:p>
    <w:p>
      <w:pPr>
        <w:pStyle w:val="Compact"/>
        <w:numPr>
          <w:ilvl w:val="0"/>
          <w:numId w:val="1053"/>
        </w:numPr>
      </w:pPr>
      <w:r>
        <w:t xml:space="preserve">The contingency plan shall set out contingency roles and responsibilities, and the assigned individuals with their contact information. (CP-2a.3)</w:t>
      </w:r>
    </w:p>
    <w:p>
      <w:pPr>
        <w:pStyle w:val="Compact"/>
        <w:numPr>
          <w:ilvl w:val="0"/>
          <w:numId w:val="1053"/>
        </w:numPr>
      </w:pPr>
      <w:r>
        <w:t xml:space="preserve">The contingency plan shall address maintaining essential mission and business functions despite a system disruption, compromise or failure. (CP-2a.4)</w:t>
      </w:r>
    </w:p>
    <w:p>
      <w:pPr>
        <w:pStyle w:val="Compact"/>
        <w:numPr>
          <w:ilvl w:val="0"/>
          <w:numId w:val="1053"/>
        </w:numPr>
      </w:pPr>
      <w:r>
        <w:t xml:space="preserve">The contingency plan shall address eventual, full system restoration without deterioration of the controls originally planned and implemented. (CP-2a.5)</w:t>
      </w:r>
    </w:p>
    <w:p>
      <w:pPr>
        <w:pStyle w:val="Compact"/>
        <w:numPr>
          <w:ilvl w:val="0"/>
          <w:numId w:val="1053"/>
        </w:numPr>
      </w:pPr>
      <w:r>
        <w:t xml:space="preserve">The contingency plan shall address the sharing of contingency information. (CP-2a.6)</w:t>
      </w:r>
    </w:p>
    <w:p>
      <w:pPr>
        <w:pStyle w:val="Compact"/>
        <w:numPr>
          <w:ilvl w:val="0"/>
          <w:numId w:val="1053"/>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53"/>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53"/>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53"/>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53"/>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53"/>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53"/>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53"/>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80"/>
    <w:bookmarkStart w:id="81" w:name="contingency-training-cp-3"/>
    <w:p>
      <w:pPr>
        <w:pStyle w:val="Heading4"/>
      </w:pPr>
      <w:r>
        <w:t xml:space="preserve">Contingency training (CP-3)</w:t>
      </w:r>
    </w:p>
    <w:p>
      <w:pPr>
        <w:pStyle w:val="Compact"/>
        <w:numPr>
          <w:ilvl w:val="0"/>
          <w:numId w:val="1054"/>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54"/>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54"/>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54"/>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81"/>
    <w:bookmarkStart w:id="82" w:name="contingency-plan-testing-cp-4"/>
    <w:p>
      <w:pPr>
        <w:pStyle w:val="Heading4"/>
      </w:pPr>
      <w:r>
        <w:t xml:space="preserve">Contingency plan testing (CP-4)</w:t>
      </w:r>
    </w:p>
    <w:p>
      <w:pPr>
        <w:pStyle w:val="Compact"/>
        <w:numPr>
          <w:ilvl w:val="0"/>
          <w:numId w:val="1055"/>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55"/>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55"/>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82"/>
    <w:bookmarkStart w:id="83" w:name="system-backup-cp-9"/>
    <w:p>
      <w:pPr>
        <w:pStyle w:val="Heading4"/>
      </w:pPr>
      <w:r>
        <w:t xml:space="preserve">System backup (CP-9)</w:t>
      </w:r>
    </w:p>
    <w:p>
      <w:pPr>
        <w:pStyle w:val="Compact"/>
        <w:numPr>
          <w:ilvl w:val="0"/>
          <w:numId w:val="1056"/>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56"/>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56"/>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56"/>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83"/>
    <w:bookmarkStart w:id="84" w:name="system-recovery-and-reconstitution-cp-10"/>
    <w:p>
      <w:pPr>
        <w:pStyle w:val="Heading4"/>
      </w:pPr>
      <w:r>
        <w:t xml:space="preserve">System recovery and reconstitution (CP-10)</w:t>
      </w:r>
    </w:p>
    <w:p>
      <w:pPr>
        <w:pStyle w:val="Compact"/>
        <w:numPr>
          <w:ilvl w:val="0"/>
          <w:numId w:val="1057"/>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57"/>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84"/>
    <w:bookmarkEnd w:id="85"/>
    <w:bookmarkStart w:id="104" w:name="identification-and-authentication-ia"/>
    <w:p>
      <w:pPr>
        <w:pStyle w:val="Heading3"/>
      </w:pPr>
      <w:r>
        <w:t xml:space="preserve">Identification and Authentication (IA)</w:t>
      </w:r>
    </w:p>
    <w:bookmarkStart w:id="86" w:name="Xfc092cb0b940bb3c90827bc9571f7f13e18ad78"/>
    <w:p>
      <w:pPr>
        <w:pStyle w:val="Heading4"/>
      </w:pPr>
      <w:r>
        <w:t xml:space="preserve">Identification and authentication (organizational users) (IA-2)</w:t>
      </w:r>
    </w:p>
    <w:p>
      <w:pPr>
        <w:pStyle w:val="Compact"/>
        <w:numPr>
          <w:ilvl w:val="0"/>
          <w:numId w:val="1058"/>
        </w:numPr>
      </w:pPr>
      <w:r>
        <w:t xml:space="preserve">The</w:t>
      </w:r>
      <w:r>
        <w:t xml:space="preserve"> </w:t>
      </w:r>
      <w:r>
        <w:rPr>
          <w:rStyle w:val="Fill-in"/>
        </w:rPr>
        <w:t xml:space="preserve">[System owner]</w:t>
      </w:r>
      <w:r>
        <w:t xml:space="preserve"> </w:t>
      </w:r>
      <w:r>
        <w:t xml:space="preserve">shall ensure the system uniquely identifies and authenticates organizational users. (IA-2)</w:t>
      </w:r>
    </w:p>
    <w:p>
      <w:pPr>
        <w:pStyle w:val="Compact"/>
        <w:numPr>
          <w:ilvl w:val="0"/>
          <w:numId w:val="1058"/>
        </w:numPr>
      </w:pPr>
      <w:r>
        <w:t xml:space="preserve">The</w:t>
      </w:r>
      <w:r>
        <w:t xml:space="preserve"> </w:t>
      </w:r>
      <w:r>
        <w:rPr>
          <w:rStyle w:val="Fill-in"/>
        </w:rPr>
        <w:t xml:space="preserve">[System owner]</w:t>
      </w:r>
      <w:r>
        <w:t xml:space="preserve"> </w:t>
      </w:r>
      <w:r>
        <w:t xml:space="preserve">shall ensure the system associates that unique identification with processes acting on behalf of those users. (IA-2)</w:t>
      </w:r>
    </w:p>
    <w:bookmarkEnd w:id="86"/>
    <w:bookmarkStart w:id="87" w:name="X10ca362e8ef34443d6116194eeeb1144c5e080b"/>
    <w:p>
      <w:pPr>
        <w:pStyle w:val="Heading4"/>
      </w:pPr>
      <w:r>
        <w:t xml:space="preserve">Multi-factor authentication to privileged accounts (IA-2(1))</w:t>
      </w:r>
    </w:p>
    <w:p>
      <w:pPr>
        <w:pStyle w:val="Compact"/>
        <w:numPr>
          <w:ilvl w:val="0"/>
          <w:numId w:val="1059"/>
        </w:numPr>
      </w:pPr>
      <w:r>
        <w:t xml:space="preserve">The</w:t>
      </w:r>
      <w:r>
        <w:t xml:space="preserve"> </w:t>
      </w:r>
      <w:r>
        <w:rPr>
          <w:rStyle w:val="Fill-in"/>
        </w:rPr>
        <w:t xml:space="preserve">[System owner]</w:t>
      </w:r>
      <w:r>
        <w:t xml:space="preserve"> </w:t>
      </w:r>
      <w:r>
        <w:t xml:space="preserve">shall implement multi-factor authentication for access to privileged accounts. (IA-2(1))</w:t>
      </w:r>
    </w:p>
    <w:bookmarkEnd w:id="87"/>
    <w:bookmarkStart w:id="88" w:name="Xc75032c33f8f596a3e4b90536171554e6e5350c"/>
    <w:p>
      <w:pPr>
        <w:pStyle w:val="Heading4"/>
      </w:pPr>
      <w:r>
        <w:t xml:space="preserve">Multi-factor authentication to non-privileged accounts (IA-2(2))</w:t>
      </w:r>
    </w:p>
    <w:p>
      <w:pPr>
        <w:pStyle w:val="Compact"/>
        <w:numPr>
          <w:ilvl w:val="0"/>
          <w:numId w:val="1060"/>
        </w:numPr>
      </w:pPr>
      <w:r>
        <w:t xml:space="preserve">The</w:t>
      </w:r>
      <w:r>
        <w:t xml:space="preserve"> </w:t>
      </w:r>
      <w:r>
        <w:rPr>
          <w:rStyle w:val="Fill-in"/>
        </w:rPr>
        <w:t xml:space="preserve">[System owner]</w:t>
      </w:r>
      <w:r>
        <w:t xml:space="preserve"> </w:t>
      </w:r>
      <w:r>
        <w:t xml:space="preserve">shall implement multi-factor authentication for access to non-privileged accounts. (IA-2(2))</w:t>
      </w:r>
    </w:p>
    <w:bookmarkEnd w:id="88"/>
    <w:bookmarkStart w:id="89" w:name="Xda8cfb7fa1495b87fd11ec1d3143cf1959a309d"/>
    <w:p>
      <w:pPr>
        <w:pStyle w:val="Heading4"/>
      </w:pPr>
      <w:r>
        <w:t xml:space="preserve">Access to accounts: replay resistant (IA-2(8))</w:t>
      </w:r>
    </w:p>
    <w:p>
      <w:pPr>
        <w:pStyle w:val="Compact"/>
        <w:numPr>
          <w:ilvl w:val="0"/>
          <w:numId w:val="1061"/>
        </w:numPr>
      </w:pPr>
      <w:r>
        <w:t xml:space="preserve">The</w:t>
      </w:r>
      <w:r>
        <w:t xml:space="preserve"> </w:t>
      </w:r>
      <w:r>
        <w:rPr>
          <w:rStyle w:val="Fill-in"/>
        </w:rPr>
        <w:t xml:space="preserve">[System owner]</w:t>
      </w:r>
      <w:r>
        <w:t xml:space="preserve"> </w:t>
      </w:r>
      <w:r>
        <w:t xml:space="preserve">shall implement replay-resistant authentication mechanisms for access to</w:t>
      </w:r>
      <w:r>
        <w:t xml:space="preserve"> </w:t>
      </w:r>
      <w:r>
        <w:rPr>
          <w:rStyle w:val="Fill-in"/>
        </w:rPr>
        <w:t xml:space="preserve">[Select one or more: privileged accounts; non-privileged accounts. Typical: privileged accounts and non-privileged accounts]</w:t>
      </w:r>
      <w:r>
        <w:t xml:space="preserve">. (IA-2(8))</w:t>
      </w:r>
    </w:p>
    <w:bookmarkEnd w:id="89"/>
    <w:bookmarkStart w:id="92" w:name="acceptance-of-piv-credentials-ia-212"/>
    <w:p>
      <w:pPr>
        <w:pStyle w:val="Heading4"/>
      </w:pPr>
      <w:r>
        <w:t xml:space="preserve">Acceptance of PIV credentials (IA-2(12))</w:t>
      </w:r>
    </w:p>
    <w:p>
      <w:pPr>
        <w:pStyle w:val="Compact"/>
        <w:numPr>
          <w:ilvl w:val="0"/>
          <w:numId w:val="1062"/>
        </w:numPr>
      </w:pPr>
      <w:r>
        <w:t xml:space="preserve">Where the organization issues or relies on Personal Identity Verification (PIV)-compliant credentials, the</w:t>
      </w:r>
      <w:r>
        <w:t xml:space="preserve"> </w:t>
      </w:r>
      <w:r>
        <w:rPr>
          <w:rStyle w:val="Fill-in"/>
        </w:rPr>
        <w:t xml:space="preserve">[System owner]</w:t>
      </w:r>
      <w:r>
        <w:t xml:space="preserve"> </w:t>
      </w:r>
      <w:r>
        <w:t xml:space="preserve">shall ensure the system accepts and electronically verifies them. (IA-2(12))</w:t>
      </w:r>
    </w:p>
    <w:bookmarkStart w:id="91" w:name="federal-systems-10"/>
    <w:p>
      <w:pPr>
        <w:pStyle w:val="Heading5"/>
      </w:pPr>
      <w:r>
        <w:t xml:space="preserve">Federal systems</w:t>
      </w:r>
    </w:p>
    <w:p>
      <w:pPr>
        <w:pStyle w:val="FirstParagraph"/>
      </w:pPr>
      <w:r>
        <w:t xml:space="preserve">Federal employees and contractors are issued PIV credentials under Homeland Security Presidential Directive 12 (HSPD-12) and</w:t>
      </w:r>
      <w:r>
        <w:t xml:space="preserve"> </w:t>
      </w:r>
      <w:hyperlink r:id="rId90">
        <w:r>
          <w:rPr>
            <w:rStyle w:val="Hyperlink"/>
          </w:rPr>
          <w:t xml:space="preserve">FIPS 201-3</w:t>
        </w:r>
      </w:hyperlink>
      <w:r>
        <w:t xml:space="preserve">, Personal Identity Verification (PIV) of Federal Employees and Contractors (January 2022).</w:t>
      </w:r>
    </w:p>
    <w:p>
      <w:pPr>
        <w:pStyle w:val="Compact"/>
        <w:numPr>
          <w:ilvl w:val="0"/>
          <w:numId w:val="1063"/>
        </w:numPr>
      </w:pPr>
      <w:r>
        <w:t xml:space="preserve">The</w:t>
      </w:r>
      <w:r>
        <w:t xml:space="preserve"> </w:t>
      </w:r>
      <w:r>
        <w:rPr>
          <w:rStyle w:val="Fill-in"/>
        </w:rPr>
        <w:t xml:space="preserve">[System owner]</w:t>
      </w:r>
      <w:r>
        <w:t xml:space="preserve"> </w:t>
      </w:r>
      <w:r>
        <w:t xml:space="preserve">shall ensure the system accepts and electronically verifies PIV credentials for organizational users. (IA-2(12))</w:t>
      </w:r>
    </w:p>
    <w:bookmarkEnd w:id="91"/>
    <w:bookmarkEnd w:id="92"/>
    <w:bookmarkStart w:id="93" w:name="identifier-management-ia-4"/>
    <w:p>
      <w:pPr>
        <w:pStyle w:val="Heading4"/>
      </w:pPr>
      <w:r>
        <w:t xml:space="preserve">Identifier management (IA-4)</w:t>
      </w:r>
    </w:p>
    <w:p>
      <w:pPr>
        <w:pStyle w:val="Compact"/>
        <w:numPr>
          <w:ilvl w:val="0"/>
          <w:numId w:val="1064"/>
        </w:numPr>
      </w:pPr>
      <w:r>
        <w:t xml:space="preserve">The</w:t>
      </w:r>
      <w:r>
        <w:t xml:space="preserve"> </w:t>
      </w:r>
      <w:r>
        <w:rPr>
          <w:rStyle w:val="Fill-in"/>
        </w:rPr>
        <w:t xml:space="preserve">[Account manager]</w:t>
      </w:r>
      <w:r>
        <w:t xml:space="preserve"> </w:t>
      </w:r>
      <w:r>
        <w:t xml:space="preserve">shall assign an individual, group, role, service or device identifier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(IA-4a)</w:t>
      </w:r>
    </w:p>
    <w:p>
      <w:pPr>
        <w:pStyle w:val="Compact"/>
        <w:numPr>
          <w:ilvl w:val="0"/>
          <w:numId w:val="1064"/>
        </w:numPr>
      </w:pPr>
      <w:r>
        <w:t xml:space="preserve">The</w:t>
      </w:r>
      <w:r>
        <w:t xml:space="preserve"> </w:t>
      </w:r>
      <w:r>
        <w:rPr>
          <w:rStyle w:val="Fill-in"/>
        </w:rPr>
        <w:t xml:space="preserve">[Account manager]</w:t>
      </w:r>
      <w:r>
        <w:t xml:space="preserve"> </w:t>
      </w:r>
      <w:r>
        <w:t xml:space="preserve">shall select an identifier that identifies the individual, group, role, service or device. (IA-4b)</w:t>
      </w:r>
    </w:p>
    <w:p>
      <w:pPr>
        <w:pStyle w:val="Compact"/>
        <w:numPr>
          <w:ilvl w:val="0"/>
          <w:numId w:val="1064"/>
        </w:numPr>
      </w:pPr>
      <w:r>
        <w:t xml:space="preserve">The</w:t>
      </w:r>
      <w:r>
        <w:t xml:space="preserve"> </w:t>
      </w:r>
      <w:r>
        <w:rPr>
          <w:rStyle w:val="Fill-in"/>
        </w:rPr>
        <w:t xml:space="preserve">[Account manager]</w:t>
      </w:r>
      <w:r>
        <w:t xml:space="preserve"> </w:t>
      </w:r>
      <w:r>
        <w:t xml:space="preserve">shall assign the identifier to the intended individual, group, role, service or device. (IA-4c)</w:t>
      </w:r>
    </w:p>
    <w:p>
      <w:pPr>
        <w:pStyle w:val="Compact"/>
        <w:numPr>
          <w:ilvl w:val="0"/>
          <w:numId w:val="1064"/>
        </w:numPr>
      </w:pPr>
      <w:r>
        <w:t xml:space="preserve">The</w:t>
      </w:r>
      <w:r>
        <w:t xml:space="preserve"> </w:t>
      </w:r>
      <w:r>
        <w:rPr>
          <w:rStyle w:val="Fill-in"/>
        </w:rPr>
        <w:t xml:space="preserve">[Account manager]</w:t>
      </w:r>
      <w:r>
        <w:t xml:space="preserve"> </w:t>
      </w:r>
      <w:r>
        <w:t xml:space="preserve">shall prevent reuse of identifiers for</w:t>
      </w:r>
      <w:r>
        <w:t xml:space="preserve"> </w:t>
      </w:r>
      <w:r>
        <w:rPr>
          <w:rStyle w:val="Fill-in"/>
        </w:rPr>
        <w:t xml:space="preserve">[Fill in: a time period for preventing reuse of identifiers. Typical: at least two years]</w:t>
      </w:r>
      <w:r>
        <w:t xml:space="preserve">. (IA-4d)</w:t>
      </w:r>
    </w:p>
    <w:bookmarkEnd w:id="93"/>
    <w:bookmarkStart w:id="94" w:name="authenticator-management-ia-5"/>
    <w:p>
      <w:pPr>
        <w:pStyle w:val="Heading4"/>
      </w:pPr>
      <w:r>
        <w:t xml:space="preserve">Authenticator management (IA-5)</w:t>
      </w:r>
    </w:p>
    <w:p>
      <w:pPr>
        <w:pStyle w:val="Compact"/>
        <w:numPr>
          <w:ilvl w:val="0"/>
          <w:numId w:val="1065"/>
        </w:numPr>
      </w:pPr>
      <w:r>
        <w:t xml:space="preserve">The</w:t>
      </w:r>
      <w:r>
        <w:t xml:space="preserve"> </w:t>
      </w:r>
      <w:r>
        <w:rPr>
          <w:rStyle w:val="Fill-in"/>
        </w:rPr>
        <w:t xml:space="preserve">[Account manager]</w:t>
      </w:r>
      <w:r>
        <w:t xml:space="preserve"> </w:t>
      </w:r>
      <w:r>
        <w:t xml:space="preserve">shall verify the identity of the individual, group, role, service or device receiving an authenticator as part of its initial distribution. (IA-5a)</w:t>
      </w:r>
    </w:p>
    <w:p>
      <w:pPr>
        <w:pStyle w:val="Compact"/>
        <w:numPr>
          <w:ilvl w:val="0"/>
          <w:numId w:val="1065"/>
        </w:numPr>
      </w:pPr>
      <w:r>
        <w:t xml:space="preserve">The</w:t>
      </w:r>
      <w:r>
        <w:t xml:space="preserve"> </w:t>
      </w:r>
      <w:r>
        <w:rPr>
          <w:rStyle w:val="Fill-in"/>
        </w:rPr>
        <w:t xml:space="preserve">[Account manager]</w:t>
      </w:r>
      <w:r>
        <w:t xml:space="preserve"> </w:t>
      </w:r>
      <w:r>
        <w:t xml:space="preserve">shall establish the initial content of any authenticator the organization issues. (IA-5b)</w:t>
      </w:r>
    </w:p>
    <w:p>
      <w:pPr>
        <w:pStyle w:val="Compact"/>
        <w:numPr>
          <w:ilvl w:val="0"/>
          <w:numId w:val="1065"/>
        </w:numPr>
      </w:pPr>
      <w:r>
        <w:t xml:space="preserve">The</w:t>
      </w:r>
      <w:r>
        <w:t xml:space="preserve"> </w:t>
      </w:r>
      <w:r>
        <w:rPr>
          <w:rStyle w:val="Fill-in"/>
        </w:rPr>
        <w:t xml:space="preserve">[Chief Information Security Officer]</w:t>
      </w:r>
      <w:r>
        <w:t xml:space="preserve"> </w:t>
      </w:r>
      <w:r>
        <w:t xml:space="preserve">shall ensure authenticators have sufficient strength of mechanism for their intended use. (IA-5c)</w:t>
      </w:r>
    </w:p>
    <w:p>
      <w:pPr>
        <w:pStyle w:val="Compact"/>
        <w:numPr>
          <w:ilvl w:val="0"/>
          <w:numId w:val="1065"/>
        </w:numPr>
      </w:pPr>
      <w:r>
        <w:t xml:space="preserve">The</w:t>
      </w:r>
      <w:r>
        <w:t xml:space="preserve"> </w:t>
      </w:r>
      <w:r>
        <w:rPr>
          <w:rStyle w:val="Fill-in"/>
        </w:rPr>
        <w:t xml:space="preserve">[Chief Information Security Officer]</w:t>
      </w:r>
      <w:r>
        <w:t xml:space="preserve"> </w:t>
      </w:r>
      <w:r>
        <w:t xml:space="preserve">shall establish administrative procedures for initial authenticator distribution, for lost, compromised or damaged authenticators, and for revoking authenticators. (IA-5d)</w:t>
      </w:r>
    </w:p>
    <w:p>
      <w:pPr>
        <w:pStyle w:val="Compact"/>
        <w:numPr>
          <w:ilvl w:val="0"/>
          <w:numId w:val="1065"/>
        </w:numPr>
      </w:pPr>
      <w:r>
        <w:t xml:space="preserve">The</w:t>
      </w:r>
      <w:r>
        <w:t xml:space="preserve"> </w:t>
      </w:r>
      <w:r>
        <w:rPr>
          <w:rStyle w:val="Fill-in"/>
        </w:rPr>
        <w:t xml:space="preserve">[Account manager]</w:t>
      </w:r>
      <w:r>
        <w:t xml:space="preserve"> </w:t>
      </w:r>
      <w:r>
        <w:t xml:space="preserve">shall implement those procedures. (IA-5d)</w:t>
      </w:r>
    </w:p>
    <w:p>
      <w:pPr>
        <w:pStyle w:val="Compact"/>
        <w:numPr>
          <w:ilvl w:val="0"/>
          <w:numId w:val="1065"/>
        </w:numPr>
      </w:pPr>
      <w:r>
        <w:t xml:space="preserve">The</w:t>
      </w:r>
      <w:r>
        <w:t xml:space="preserve"> </w:t>
      </w:r>
      <w:r>
        <w:rPr>
          <w:rStyle w:val="Fill-in"/>
        </w:rPr>
        <w:t xml:space="preserve">[System owner]</w:t>
      </w:r>
      <w:r>
        <w:t xml:space="preserve"> </w:t>
      </w:r>
      <w:r>
        <w:t xml:space="preserve">shall ensure default authenticators are changed before first use. (IA-5e)</w:t>
      </w:r>
    </w:p>
    <w:p>
      <w:pPr>
        <w:pStyle w:val="Compact"/>
        <w:numPr>
          <w:ilvl w:val="0"/>
          <w:numId w:val="1065"/>
        </w:numPr>
      </w:pPr>
      <w:r>
        <w:t xml:space="preserve">The</w:t>
      </w:r>
      <w:r>
        <w:t xml:space="preserve"> </w:t>
      </w:r>
      <w:r>
        <w:rPr>
          <w:rStyle w:val="Fill-in"/>
        </w:rPr>
        <w:t xml:space="preserve">[Account manager]</w:t>
      </w:r>
      <w:r>
        <w:t xml:space="preserve"> </w:t>
      </w:r>
      <w:r>
        <w:t xml:space="preserve">shall change or refresh authenticators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065"/>
        </w:numPr>
      </w:pPr>
      <w:r>
        <w:t xml:space="preserve">The</w:t>
      </w:r>
      <w:r>
        <w:t xml:space="preserve"> </w:t>
      </w:r>
      <w:r>
        <w:rPr>
          <w:rStyle w:val="Fill-in"/>
        </w:rPr>
        <w:t xml:space="preserve">[Account manager]</w:t>
      </w:r>
      <w:r>
        <w:t xml:space="preserve"> </w:t>
      </w:r>
      <w:r>
        <w:t xml:space="preserve">shall change or refresh authenticators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065"/>
        </w:numPr>
      </w:pPr>
      <w:r>
        <w:t xml:space="preserve">The</w:t>
      </w:r>
      <w:r>
        <w:t xml:space="preserve"> </w:t>
      </w:r>
      <w:r>
        <w:rPr>
          <w:rStyle w:val="Fill-in"/>
        </w:rPr>
        <w:t xml:space="preserve">[System owner]</w:t>
      </w:r>
      <w:r>
        <w:t xml:space="preserve"> </w:t>
      </w:r>
      <w:r>
        <w:t xml:space="preserve">shall protect authenticator content from unauthorized disclosure and modification. (IA-5g)</w:t>
      </w:r>
    </w:p>
    <w:p>
      <w:pPr>
        <w:pStyle w:val="Compact"/>
        <w:numPr>
          <w:ilvl w:val="0"/>
          <w:numId w:val="1065"/>
        </w:numPr>
      </w:pPr>
      <w:r>
        <w:t xml:space="preserve">Users shall protect their authenticators as the rules of behavior require. (IA-5h)</w:t>
      </w:r>
    </w:p>
    <w:p>
      <w:pPr>
        <w:pStyle w:val="Compact"/>
        <w:numPr>
          <w:ilvl w:val="0"/>
          <w:numId w:val="1065"/>
        </w:numPr>
      </w:pPr>
      <w:r>
        <w:t xml:space="preserve">The</w:t>
      </w:r>
      <w:r>
        <w:t xml:space="preserve"> </w:t>
      </w:r>
      <w:r>
        <w:rPr>
          <w:rStyle w:val="Fill-in"/>
        </w:rPr>
        <w:t xml:space="preserve">[System owner]</w:t>
      </w:r>
      <w:r>
        <w:t xml:space="preserve"> </w:t>
      </w:r>
      <w:r>
        <w:t xml:space="preserve">shall ensure devices implement the controls that protect authenticators. (IA-5h)</w:t>
      </w:r>
    </w:p>
    <w:p>
      <w:pPr>
        <w:pStyle w:val="Compact"/>
        <w:numPr>
          <w:ilvl w:val="0"/>
          <w:numId w:val="1065"/>
        </w:numPr>
      </w:pPr>
      <w:r>
        <w:t xml:space="preserve">The</w:t>
      </w:r>
      <w:r>
        <w:t xml:space="preserve"> </w:t>
      </w:r>
      <w:r>
        <w:rPr>
          <w:rStyle w:val="Fill-in"/>
        </w:rPr>
        <w:t xml:space="preserve">[Account manager]</w:t>
      </w:r>
      <w:r>
        <w:t xml:space="preserve"> </w:t>
      </w:r>
      <w:r>
        <w:t xml:space="preserve">shall change the authenticators of group or role accounts when membership of those accounts changes. (IA-5i)</w:t>
      </w:r>
    </w:p>
    <w:bookmarkEnd w:id="94"/>
    <w:bookmarkStart w:id="95" w:name="password-based-authentication-ia-51"/>
    <w:p>
      <w:pPr>
        <w:pStyle w:val="Heading4"/>
      </w:pPr>
      <w:r>
        <w:t xml:space="preserve">Password-based authentication (IA-5(1))</w:t>
      </w:r>
    </w:p>
    <w:p>
      <w:pPr>
        <w:pStyle w:val="Compact"/>
        <w:numPr>
          <w:ilvl w:val="0"/>
          <w:numId w:val="1066"/>
        </w:numPr>
      </w:pPr>
      <w:r>
        <w:t xml:space="preserve">The</w:t>
      </w:r>
      <w:r>
        <w:t xml:space="preserve"> </w:t>
      </w:r>
      <w:r>
        <w:rPr>
          <w:rStyle w:val="Fill-in"/>
        </w:rPr>
        <w:t xml:space="preserve">[System owner]</w:t>
      </w:r>
      <w:r>
        <w:t xml:space="preserve"> </w:t>
      </w:r>
      <w:r>
        <w:t xml:space="preserve">shall maintain a list of commonly used, expected or compromised passwords, and update it</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w:t>
      </w:r>
      <w:r>
        <w:t xml:space="preserve">and when organizational passwords are suspected to have been compromised. (IA-5(1)(a))</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verifies, when users create or update passwords, that the passwords are not on that list. (IA-5(1)(b))</w:t>
      </w:r>
    </w:p>
    <w:p>
      <w:pPr>
        <w:pStyle w:val="Compact"/>
        <w:numPr>
          <w:ilvl w:val="0"/>
          <w:numId w:val="1066"/>
        </w:numPr>
      </w:pPr>
      <w:r>
        <w:t xml:space="preserve">The</w:t>
      </w:r>
      <w:r>
        <w:t xml:space="preserve"> </w:t>
      </w:r>
      <w:r>
        <w:rPr>
          <w:rStyle w:val="Fill-in"/>
        </w:rPr>
        <w:t xml:space="preserve">[System owner]</w:t>
      </w:r>
      <w:r>
        <w:t xml:space="preserve"> </w:t>
      </w:r>
      <w:r>
        <w:t xml:space="preserve">shall ensure passwords are transmitted only over cryptographically protected channels. (IA-5(1)(c))</w:t>
      </w:r>
    </w:p>
    <w:p>
      <w:pPr>
        <w:pStyle w:val="Compact"/>
        <w:numPr>
          <w:ilvl w:val="0"/>
          <w:numId w:val="1066"/>
        </w:numPr>
      </w:pPr>
      <w:r>
        <w:t xml:space="preserve">The</w:t>
      </w:r>
      <w:r>
        <w:t xml:space="preserve"> </w:t>
      </w:r>
      <w:r>
        <w:rPr>
          <w:rStyle w:val="Fill-in"/>
        </w:rPr>
        <w:t xml:space="preserve">[System owner]</w:t>
      </w:r>
      <w:r>
        <w:t xml:space="preserve"> </w:t>
      </w:r>
      <w:r>
        <w:t xml:space="preserve">shall ensure passwords are stored using an approved salted key derivation function, preferably using a keyed hash. (IA-5(1)(d))</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requires immediate selection of a new password upon account recovery. (IA-5(1)(e))</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allows long passwords and passphrases, including spaces and all printable characters. (IA-5(1)(f))</w:t>
      </w:r>
    </w:p>
    <w:p>
      <w:pPr>
        <w:pStyle w:val="Compact"/>
        <w:numPr>
          <w:ilvl w:val="0"/>
          <w:numId w:val="1066"/>
        </w:numPr>
      </w:pPr>
      <w:r>
        <w:t xml:space="preserve">The</w:t>
      </w:r>
      <w:r>
        <w:t xml:space="preserve"> </w:t>
      </w:r>
      <w:r>
        <w:rPr>
          <w:rStyle w:val="Fill-in"/>
        </w:rPr>
        <w:t xml:space="preserve">[System owner]</w:t>
      </w:r>
      <w:r>
        <w:t xml:space="preserve"> </w:t>
      </w:r>
      <w:r>
        <w:t xml:space="preserve">shall employ automated tools to help users select strong passwords. (IA-5(1)(g))</w:t>
      </w:r>
    </w:p>
    <w:p>
      <w:pPr>
        <w:pStyle w:val="Compact"/>
        <w:numPr>
          <w:ilvl w:val="0"/>
          <w:numId w:val="1066"/>
        </w:numPr>
      </w:pPr>
      <w:r>
        <w:t xml:space="preserve">The</w:t>
      </w:r>
      <w:r>
        <w:t xml:space="preserve"> </w:t>
      </w:r>
      <w:r>
        <w:rPr>
          <w:rStyle w:val="Fill-in"/>
        </w:rPr>
        <w:t xml:space="preserve">[System owner]</w:t>
      </w:r>
      <w:r>
        <w:t xml:space="preserve"> </w:t>
      </w:r>
      <w:r>
        <w:t xml:space="preserve">shall ensure the system enforces these composition and complexity rules: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(IA-5(1)(h))</w:t>
      </w:r>
    </w:p>
    <w:bookmarkEnd w:id="95"/>
    <w:bookmarkStart w:id="96" w:name="authentication-feedback-ia-6"/>
    <w:p>
      <w:pPr>
        <w:pStyle w:val="Heading4"/>
      </w:pPr>
      <w:r>
        <w:t xml:space="preserve">Authentication feedback (IA-6)</w:t>
      </w:r>
    </w:p>
    <w:p>
      <w:pPr>
        <w:pStyle w:val="Compact"/>
        <w:numPr>
          <w:ilvl w:val="0"/>
          <w:numId w:val="1067"/>
        </w:numPr>
      </w:pPr>
      <w:r>
        <w:t xml:space="preserve">The</w:t>
      </w:r>
      <w:r>
        <w:t xml:space="preserve"> </w:t>
      </w:r>
      <w:r>
        <w:rPr>
          <w:rStyle w:val="Fill-in"/>
        </w:rPr>
        <w:t xml:space="preserve">[System owner]</w:t>
      </w:r>
      <w:r>
        <w:t xml:space="preserve"> </w:t>
      </w:r>
      <w:r>
        <w:t xml:space="preserve">shall ensure the system obscures feedback of authentication information during authentication, so it cannot be exploited by unauthorized individuals. (IA-6)</w:t>
      </w:r>
    </w:p>
    <w:bookmarkEnd w:id="96"/>
    <w:bookmarkStart w:id="97" w:name="cryptographic-module-authentication-ia-7"/>
    <w:p>
      <w:pPr>
        <w:pStyle w:val="Heading4"/>
      </w:pPr>
      <w:r>
        <w:t xml:space="preserve">Cryptographic module authentication (IA-7)</w:t>
      </w:r>
    </w:p>
    <w:p>
      <w:pPr>
        <w:pStyle w:val="Compact"/>
        <w:numPr>
          <w:ilvl w:val="0"/>
          <w:numId w:val="1068"/>
        </w:numPr>
      </w:pPr>
      <w:r>
        <w:t xml:space="preserve">The</w:t>
      </w:r>
      <w:r>
        <w:t xml:space="preserve"> </w:t>
      </w:r>
      <w:r>
        <w:rPr>
          <w:rStyle w:val="Fill-in"/>
        </w:rPr>
        <w:t xml:space="preserve">[System owner]</w:t>
      </w:r>
      <w:r>
        <w:t xml:space="preserve"> </w:t>
      </w:r>
      <w:r>
        <w:t xml:space="preserve">shall implement mechanisms for authentication to a cryptographic module that meet the laws, executive orders, directives, policies, regulations, standards and guidelines that apply to such authentication. (IA-7)</w:t>
      </w:r>
    </w:p>
    <w:bookmarkEnd w:id="97"/>
    <w:bookmarkStart w:id="98" w:name="X2b07957ea80570e9ead57d83aaa3033ad09a62b"/>
    <w:p>
      <w:pPr>
        <w:pStyle w:val="Heading4"/>
      </w:pPr>
      <w:r>
        <w:t xml:space="preserve">Identification and authentication (non-organizational users) (IA-8)</w:t>
      </w:r>
    </w:p>
    <w:p>
      <w:pPr>
        <w:pStyle w:val="Compact"/>
        <w:numPr>
          <w:ilvl w:val="0"/>
          <w:numId w:val="1069"/>
        </w:numPr>
      </w:pPr>
      <w:r>
        <w:t xml:space="preserve">The</w:t>
      </w:r>
      <w:r>
        <w:t xml:space="preserve"> </w:t>
      </w:r>
      <w:r>
        <w:rPr>
          <w:rStyle w:val="Fill-in"/>
        </w:rPr>
        <w:t xml:space="preserve">[System owner]</w:t>
      </w:r>
      <w:r>
        <w:t xml:space="preserve"> </w:t>
      </w:r>
      <w:r>
        <w:t xml:space="preserve">shall ensure the system uniquely identifies and authenticates non-organizational users and processes acting on their behalf. (IA-8)</w:t>
      </w:r>
    </w:p>
    <w:bookmarkEnd w:id="98"/>
    <w:bookmarkStart w:id="99" w:name="Xb563bcad0b4a0efea7541087a3ea4f0d3f95d18"/>
    <w:p>
      <w:pPr>
        <w:pStyle w:val="Heading4"/>
      </w:pPr>
      <w:r>
        <w:t xml:space="preserve">Acceptance of PIV credentials from other agencies (IA-8(1))</w:t>
      </w:r>
    </w:p>
    <w:p>
      <w:pPr>
        <w:pStyle w:val="Compact"/>
        <w:numPr>
          <w:ilvl w:val="0"/>
          <w:numId w:val="1070"/>
        </w:numPr>
      </w:pPr>
      <w:r>
        <w:t xml:space="preserve">Where users from federal agencies access the system, the</w:t>
      </w:r>
      <w:r>
        <w:t xml:space="preserve"> </w:t>
      </w:r>
      <w:r>
        <w:rPr>
          <w:rStyle w:val="Fill-in"/>
        </w:rPr>
        <w:t xml:space="preserve">[System owner]</w:t>
      </w:r>
      <w:r>
        <w:t xml:space="preserve"> </w:t>
      </w:r>
      <w:r>
        <w:t xml:space="preserve">shall ensure it accepts and electronically verifies their Personal Identity Verification (PIV)-compliant credentials. (IA-8(1))</w:t>
      </w:r>
    </w:p>
    <w:bookmarkEnd w:id="99"/>
    <w:bookmarkStart w:id="101" w:name="X4af41985cb0e1b65f5499d6e4b647301fad28a4"/>
    <w:p>
      <w:pPr>
        <w:pStyle w:val="Heading4"/>
      </w:pPr>
      <w:r>
        <w:t xml:space="preserve">Acceptance of external authenticators (IA-8(2))</w:t>
      </w:r>
    </w:p>
    <w:p>
      <w:pPr>
        <w:pStyle w:val="Compact"/>
        <w:numPr>
          <w:ilvl w:val="0"/>
          <w:numId w:val="1071"/>
        </w:numPr>
      </w:pPr>
      <w:r>
        <w:t xml:space="preserve">The</w:t>
      </w:r>
      <w:r>
        <w:t xml:space="preserve"> </w:t>
      </w:r>
      <w:r>
        <w:rPr>
          <w:rStyle w:val="Fill-in"/>
        </w:rPr>
        <w:t xml:space="preserve">[System owner]</w:t>
      </w:r>
      <w:r>
        <w:t xml:space="preserve"> </w:t>
      </w:r>
      <w:r>
        <w:t xml:space="preserve">shall ensure the system accepts only external authenticators that are NIST-compliant, such as those meeting</w:t>
      </w:r>
      <w:r>
        <w:t xml:space="preserve"> </w:t>
      </w:r>
      <w:hyperlink r:id="rId100">
        <w:r>
          <w:rPr>
            <w:rStyle w:val="Hyperlink"/>
          </w:rPr>
          <w:t xml:space="preserve">NIST SP 800-63B-4</w:t>
        </w:r>
      </w:hyperlink>
      <w:r>
        <w:t xml:space="preserve"> </w:t>
      </w:r>
      <w:r>
        <w:t xml:space="preserve">(July 2025). (IA-8(2)(a))</w:t>
      </w:r>
    </w:p>
    <w:p>
      <w:pPr>
        <w:pStyle w:val="Compact"/>
        <w:numPr>
          <w:ilvl w:val="0"/>
          <w:numId w:val="1071"/>
        </w:numPr>
      </w:pPr>
      <w:r>
        <w:t xml:space="preserve">The</w:t>
      </w:r>
      <w:r>
        <w:t xml:space="preserve"> </w:t>
      </w:r>
      <w:r>
        <w:rPr>
          <w:rStyle w:val="Fill-in"/>
        </w:rPr>
        <w:t xml:space="preserve">[System owner]</w:t>
      </w:r>
      <w:r>
        <w:t xml:space="preserve"> </w:t>
      </w:r>
      <w:r>
        <w:t xml:space="preserve">shall document and maintain a list of accepted external authenticators. (IA-8(2)(b))</w:t>
      </w:r>
    </w:p>
    <w:bookmarkEnd w:id="101"/>
    <w:bookmarkStart w:id="102" w:name="use-of-defined-profiles-ia-84"/>
    <w:p>
      <w:pPr>
        <w:pStyle w:val="Heading4"/>
      </w:pPr>
      <w:r>
        <w:t xml:space="preserve">Use of defined profiles (IA-8(4))</w:t>
      </w:r>
    </w:p>
    <w:p>
      <w:pPr>
        <w:pStyle w:val="Compact"/>
        <w:numPr>
          <w:ilvl w:val="0"/>
          <w:numId w:val="1072"/>
        </w:numPr>
      </w:pPr>
      <w:r>
        <w:t xml:space="preserve">The</w:t>
      </w:r>
      <w:r>
        <w:t xml:space="preserve"> </w:t>
      </w:r>
      <w:r>
        <w:rPr>
          <w:rStyle w:val="Fill-in"/>
        </w:rPr>
        <w:t xml:space="preserve">[System owner]</w:t>
      </w:r>
      <w:r>
        <w:t xml:space="preserve"> </w:t>
      </w:r>
      <w:r>
        <w:t xml:space="preserve">shall ensure the system conforms to</w:t>
      </w:r>
      <w:r>
        <w:t xml:space="preserve"> </w:t>
      </w:r>
      <w:r>
        <w:rPr>
          <w:rStyle w:val="Fill-in"/>
        </w:rPr>
        <w:t xml:space="preserve">[Fill in: identity management profiles. Typical: the federation profiles the organization publishes for its identity provider, such as SAML 2.0 or OpenID Connect]</w:t>
      </w:r>
      <w:r>
        <w:t xml:space="preserve"> </w:t>
      </w:r>
      <w:r>
        <w:t xml:space="preserve">for identity management. (IA-8(4))</w:t>
      </w:r>
    </w:p>
    <w:bookmarkEnd w:id="102"/>
    <w:bookmarkStart w:id="103" w:name="re-authentication-ia-11"/>
    <w:p>
      <w:pPr>
        <w:pStyle w:val="Heading4"/>
      </w:pPr>
      <w:r>
        <w:t xml:space="preserve">Re-authentication (IA-11)</w:t>
      </w:r>
    </w:p>
    <w:p>
      <w:pPr>
        <w:pStyle w:val="Compact"/>
        <w:numPr>
          <w:ilvl w:val="0"/>
          <w:numId w:val="1073"/>
        </w:numPr>
      </w:pPr>
      <w:r>
        <w:t xml:space="preserve">The</w:t>
      </w:r>
      <w:r>
        <w:t xml:space="preserve"> </w:t>
      </w:r>
      <w:r>
        <w:rPr>
          <w:rStyle w:val="Fill-in"/>
        </w:rPr>
        <w:t xml:space="preserve">[System owner]</w:t>
      </w:r>
      <w:r>
        <w:t xml:space="preserve"> </w:t>
      </w:r>
      <w:r>
        <w:t xml:space="preserve">shall ensure the system requires users to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bookmarkEnd w:id="103"/>
    <w:bookmarkEnd w:id="104"/>
    <w:bookmarkStart w:id="113" w:name="incident-response-ir"/>
    <w:p>
      <w:pPr>
        <w:pStyle w:val="Heading3"/>
      </w:pPr>
      <w:r>
        <w:t xml:space="preserve">Incident Response (IR)</w:t>
      </w:r>
    </w:p>
    <w:bookmarkStart w:id="105" w:name="incident-response-training-ir-2"/>
    <w:p>
      <w:pPr>
        <w:pStyle w:val="Heading4"/>
      </w:pPr>
      <w:r>
        <w:t xml:space="preserve">Incident response training (IR-2)</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074"/>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105"/>
    <w:bookmarkStart w:id="106" w:name="incident-handling-ir-4"/>
    <w:p>
      <w:pPr>
        <w:pStyle w:val="Heading4"/>
      </w:pPr>
      <w:r>
        <w:t xml:space="preserve">Incident handling (IR-4)</w:t>
      </w:r>
    </w:p>
    <w:p>
      <w:pPr>
        <w:pStyle w:val="Compact"/>
        <w:numPr>
          <w:ilvl w:val="0"/>
          <w:numId w:val="1075"/>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075"/>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075"/>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075"/>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106"/>
    <w:bookmarkStart w:id="107" w:name="incident-monitoring-ir-5"/>
    <w:p>
      <w:pPr>
        <w:pStyle w:val="Heading4"/>
      </w:pPr>
      <w:r>
        <w:t xml:space="preserve">Incident monitoring (IR-5)</w:t>
      </w:r>
    </w:p>
    <w:p>
      <w:pPr>
        <w:pStyle w:val="Compact"/>
        <w:numPr>
          <w:ilvl w:val="0"/>
          <w:numId w:val="1076"/>
        </w:numPr>
      </w:pPr>
      <w:r>
        <w:t xml:space="preserve">The</w:t>
      </w:r>
      <w:r>
        <w:t xml:space="preserve"> </w:t>
      </w:r>
      <w:r>
        <w:rPr>
          <w:rStyle w:val="Fill-in"/>
        </w:rPr>
        <w:t xml:space="preserve">[Incident response team]</w:t>
      </w:r>
      <w:r>
        <w:t xml:space="preserve"> </w:t>
      </w:r>
      <w:r>
        <w:t xml:space="preserve">shall track and document incidents. (IR-5)</w:t>
      </w:r>
    </w:p>
    <w:bookmarkEnd w:id="107"/>
    <w:bookmarkStart w:id="110" w:name="incident-reporting-ir-6"/>
    <w:p>
      <w:pPr>
        <w:pStyle w:val="Heading4"/>
      </w:pPr>
      <w:r>
        <w:t xml:space="preserve">Incident reporting (IR-6)</w:t>
      </w:r>
    </w:p>
    <w:p>
      <w:pPr>
        <w:pStyle w:val="Compact"/>
        <w:numPr>
          <w:ilvl w:val="0"/>
          <w:numId w:val="1077"/>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077"/>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109" w:name="federal-systems-11"/>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108">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078"/>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109"/>
    <w:bookmarkEnd w:id="110"/>
    <w:bookmarkStart w:id="111" w:name="incident-response-assistance-ir-7"/>
    <w:p>
      <w:pPr>
        <w:pStyle w:val="Heading4"/>
      </w:pPr>
      <w:r>
        <w:t xml:space="preserve">Incident response assistance (IR-7)</w:t>
      </w:r>
    </w:p>
    <w:p>
      <w:pPr>
        <w:pStyle w:val="Compact"/>
        <w:numPr>
          <w:ilvl w:val="0"/>
          <w:numId w:val="1079"/>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111"/>
    <w:bookmarkStart w:id="112" w:name="incident-response-plan-ir-8"/>
    <w:p>
      <w:pPr>
        <w:pStyle w:val="Heading4"/>
      </w:pPr>
      <w:r>
        <w:t xml:space="preserve">Incident response plan (IR-8)</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080"/>
        </w:numPr>
      </w:pPr>
      <w:r>
        <w:t xml:space="preserve">The plan shall describe the structure and organization of the incident response capability. (IR-8a.2)</w:t>
      </w:r>
    </w:p>
    <w:p>
      <w:pPr>
        <w:pStyle w:val="Compact"/>
        <w:numPr>
          <w:ilvl w:val="0"/>
          <w:numId w:val="1080"/>
        </w:numPr>
      </w:pPr>
      <w:r>
        <w:t xml:space="preserve">The plan shall describe at a high level how the incident response capability fits into the overall organization. (IR-8a.3)</w:t>
      </w:r>
    </w:p>
    <w:p>
      <w:pPr>
        <w:pStyle w:val="Compact"/>
        <w:numPr>
          <w:ilvl w:val="0"/>
          <w:numId w:val="1080"/>
        </w:numPr>
      </w:pPr>
      <w:r>
        <w:t xml:space="preserve">The plan shall meet the organization’s unique requirements related to its mission, size, structure and functions. (IR-8a.4)</w:t>
      </w:r>
    </w:p>
    <w:p>
      <w:pPr>
        <w:pStyle w:val="Compact"/>
        <w:numPr>
          <w:ilvl w:val="0"/>
          <w:numId w:val="1080"/>
        </w:numPr>
      </w:pPr>
      <w:r>
        <w:t xml:space="preserve">The plan shall define reportable incidents. (IR-8a.5)</w:t>
      </w:r>
    </w:p>
    <w:p>
      <w:pPr>
        <w:pStyle w:val="Compact"/>
        <w:numPr>
          <w:ilvl w:val="0"/>
          <w:numId w:val="1080"/>
        </w:numPr>
      </w:pPr>
      <w:r>
        <w:t xml:space="preserve">The plan shall provide metrics for measuring the incident response capability. (IR-8a.6)</w:t>
      </w:r>
    </w:p>
    <w:p>
      <w:pPr>
        <w:pStyle w:val="Compact"/>
        <w:numPr>
          <w:ilvl w:val="0"/>
          <w:numId w:val="1080"/>
        </w:numPr>
      </w:pPr>
      <w:r>
        <w:t xml:space="preserve">The plan shall define the resources and management support needed to maintain and mature the incident response capability. (IR-8a.7)</w:t>
      </w:r>
    </w:p>
    <w:p>
      <w:pPr>
        <w:pStyle w:val="Compact"/>
        <w:numPr>
          <w:ilvl w:val="0"/>
          <w:numId w:val="1080"/>
        </w:numPr>
      </w:pPr>
      <w:r>
        <w:t xml:space="preserve">The plan shall address the sharing of incident information. (IR-8a.8)</w:t>
      </w:r>
    </w:p>
    <w:p>
      <w:pPr>
        <w:pStyle w:val="Compact"/>
        <w:numPr>
          <w:ilvl w:val="0"/>
          <w:numId w:val="1080"/>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080"/>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080"/>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112"/>
    <w:bookmarkEnd w:id="113"/>
    <w:bookmarkStart w:id="122" w:name="maintenance-ma"/>
    <w:p>
      <w:pPr>
        <w:pStyle w:val="Heading3"/>
      </w:pPr>
      <w:r>
        <w:t xml:space="preserve">Maintenance (MA)</w:t>
      </w:r>
    </w:p>
    <w:bookmarkStart w:id="114" w:name="controlled-maintenance-ma-2"/>
    <w:p>
      <w:pPr>
        <w:pStyle w:val="Heading4"/>
      </w:pPr>
      <w:r>
        <w:t xml:space="preserve">Controlled maintenance (MA-2)</w:t>
      </w:r>
    </w:p>
    <w:p>
      <w:pPr>
        <w:pStyle w:val="Compact"/>
        <w:numPr>
          <w:ilvl w:val="0"/>
          <w:numId w:val="1081"/>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81"/>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81"/>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81"/>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81"/>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81"/>
        </w:numPr>
      </w:pPr>
      <w:r>
        <w:t xml:space="preserve">Maintenance that changes the system’s configuration shall also follow the change control process (CM-3). (MA-2b)</w:t>
      </w:r>
    </w:p>
    <w:p>
      <w:pPr>
        <w:pStyle w:val="Compact"/>
        <w:numPr>
          <w:ilvl w:val="0"/>
          <w:numId w:val="1081"/>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81"/>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81"/>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81"/>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81"/>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bookmarkEnd w:id="114"/>
    <w:bookmarkStart w:id="120" w:name="nonlocal-maintenance-ma-4"/>
    <w:p>
      <w:pPr>
        <w:pStyle w:val="Heading4"/>
      </w:pPr>
      <w:r>
        <w:t xml:space="preserve">Nonlocal maintenance (MA-4)</w:t>
      </w:r>
    </w:p>
    <w:p>
      <w:pPr>
        <w:pStyle w:val="Compact"/>
        <w:numPr>
          <w:ilvl w:val="0"/>
          <w:numId w:val="1082"/>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82"/>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82"/>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82"/>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82"/>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82"/>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82"/>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82"/>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119" w:name="federal-systems-12"/>
    <w:p>
      <w:pPr>
        <w:pStyle w:val="Heading5"/>
      </w:pPr>
      <w:r>
        <w:t xml:space="preserve">Federal systems</w:t>
      </w:r>
    </w:p>
    <w:p>
      <w:pPr>
        <w:pStyle w:val="FirstParagraph"/>
      </w:pPr>
      <w:hyperlink r:id="rId115">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116">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117">
        <w:r>
          <w:rPr>
            <w:rStyle w:val="Hyperlink"/>
          </w:rPr>
          <w:t xml:space="preserve">OMB M-26-18</w:t>
        </w:r>
      </w:hyperlink>
      <w:r>
        <w:t xml:space="preserve"> </w:t>
      </w:r>
      <w:r>
        <w:t xml:space="preserve">(August 31, 2026), footnote 5, lists both memoranda as existing OMB policy. CISA</w:t>
      </w:r>
      <w:r>
        <w:t xml:space="preserve"> </w:t>
      </w:r>
      <w:hyperlink r:id="rId118">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83"/>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83"/>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119"/>
    <w:bookmarkEnd w:id="120"/>
    <w:bookmarkStart w:id="121" w:name="maintenance-personnel-ma-5"/>
    <w:p>
      <w:pPr>
        <w:pStyle w:val="Heading4"/>
      </w:pPr>
      <w:r>
        <w:t xml:space="preserve">Maintenance personnel (MA-5)</w:t>
      </w:r>
    </w:p>
    <w:p>
      <w:pPr>
        <w:pStyle w:val="Compact"/>
        <w:numPr>
          <w:ilvl w:val="0"/>
          <w:numId w:val="1084"/>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84"/>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84"/>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84"/>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84"/>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84"/>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84"/>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121"/>
    <w:bookmarkEnd w:id="122"/>
    <w:bookmarkStart w:id="129" w:name="media-protection-mp"/>
    <w:p>
      <w:pPr>
        <w:pStyle w:val="Heading3"/>
      </w:pPr>
      <w:r>
        <w:t xml:space="preserve">Media Protection (MP)</w:t>
      </w:r>
    </w:p>
    <w:bookmarkStart w:id="123" w:name="media-access-mp-2"/>
    <w:p>
      <w:pPr>
        <w:pStyle w:val="Heading4"/>
      </w:pPr>
      <w:r>
        <w:t xml:space="preserve">Media access (MP-2)</w:t>
      </w:r>
    </w:p>
    <w:p>
      <w:pPr>
        <w:pStyle w:val="Compact"/>
        <w:numPr>
          <w:ilvl w:val="0"/>
          <w:numId w:val="1085"/>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85"/>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85"/>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85"/>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123"/>
    <w:bookmarkStart w:id="127" w:name="media-sanitization-mp-6"/>
    <w:p>
      <w:pPr>
        <w:pStyle w:val="Heading4"/>
      </w:pPr>
      <w:r>
        <w:t xml:space="preserve">Media sanitization (MP-6)</w:t>
      </w:r>
    </w:p>
    <w:p>
      <w:pPr>
        <w:pStyle w:val="Compact"/>
        <w:numPr>
          <w:ilvl w:val="0"/>
          <w:numId w:val="1086"/>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86"/>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86"/>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86"/>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86"/>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86"/>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86"/>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86"/>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86"/>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86"/>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86"/>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86"/>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126" w:name="federal-systems-13"/>
    <w:p>
      <w:pPr>
        <w:pStyle w:val="Heading5"/>
      </w:pPr>
      <w:r>
        <w:t xml:space="preserve">Federal systems</w:t>
      </w:r>
    </w:p>
    <w:p>
      <w:pPr>
        <w:pStyle w:val="FirstParagraph"/>
      </w:pPr>
      <w:r>
        <w:t xml:space="preserve">Under</w:t>
      </w:r>
      <w:r>
        <w:t xml:space="preserve"> </w:t>
      </w:r>
      <w:hyperlink r:id="rId124">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125">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87"/>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87"/>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87"/>
        </w:numPr>
      </w:pPr>
      <w:r>
        <w:t xml:space="preserve">Cryptographic erase shall rely only on encryption modules validated to the current FIPS 140 standard. (MP-6b)</w:t>
      </w:r>
    </w:p>
    <w:bookmarkEnd w:id="126"/>
    <w:bookmarkEnd w:id="127"/>
    <w:bookmarkStart w:id="128" w:name="media-use-mp-7"/>
    <w:p>
      <w:pPr>
        <w:pStyle w:val="Heading4"/>
      </w:pPr>
      <w:r>
        <w:t xml:space="preserve">Media use (MP-7)</w:t>
      </w:r>
    </w:p>
    <w:p>
      <w:pPr>
        <w:pStyle w:val="Compact"/>
        <w:numPr>
          <w:ilvl w:val="0"/>
          <w:numId w:val="1088"/>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88"/>
        </w:numPr>
      </w:pPr>
      <w:r>
        <w:t xml:space="preserve">Personally owned portable storage devices shall not be connected to organizational systems. (MP-7a)</w:t>
      </w:r>
    </w:p>
    <w:p>
      <w:pPr>
        <w:pStyle w:val="Compact"/>
        <w:numPr>
          <w:ilvl w:val="0"/>
          <w:numId w:val="1088"/>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88"/>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128"/>
    <w:bookmarkEnd w:id="129"/>
    <w:bookmarkStart w:id="145" w:name="physical-and-environmental-protection-pe"/>
    <w:p>
      <w:pPr>
        <w:pStyle w:val="Heading3"/>
      </w:pPr>
      <w:r>
        <w:t xml:space="preserve">Physical and Environmental Protection (PE)</w:t>
      </w:r>
    </w:p>
    <w:bookmarkStart w:id="131" w:name="physical-access-authorizations-pe-2"/>
    <w:p>
      <w:pPr>
        <w:pStyle w:val="Heading4"/>
      </w:pPr>
      <w:r>
        <w:t xml:space="preserve">Physical access authorizations (PE-2)</w:t>
      </w:r>
    </w:p>
    <w:p>
      <w:pPr>
        <w:pStyle w:val="Compact"/>
        <w:numPr>
          <w:ilvl w:val="0"/>
          <w:numId w:val="1089"/>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89"/>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89"/>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89"/>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89"/>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89"/>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130" w:name="federal-systems-14"/>
    <w:p>
      <w:pPr>
        <w:pStyle w:val="Heading5"/>
      </w:pPr>
      <w:r>
        <w:t xml:space="preserve">Federal systems</w:t>
      </w:r>
    </w:p>
    <w:p>
      <w:pPr>
        <w:pStyle w:val="FirstParagraph"/>
      </w:pPr>
      <w:hyperlink r:id="rId90">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90"/>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90"/>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130"/>
    <w:bookmarkEnd w:id="131"/>
    <w:bookmarkStart w:id="135" w:name="physical-access-control-pe-3"/>
    <w:p>
      <w:pPr>
        <w:pStyle w:val="Heading4"/>
      </w:pPr>
      <w:r>
        <w:t xml:space="preserve">Physical access control (PE-3)</w:t>
      </w:r>
    </w:p>
    <w:p>
      <w:pPr>
        <w:pStyle w:val="Compact"/>
        <w:numPr>
          <w:ilvl w:val="0"/>
          <w:numId w:val="1091"/>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91"/>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91"/>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91"/>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91"/>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91"/>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91"/>
        </w:numPr>
      </w:pPr>
      <w:r>
        <w:t xml:space="preserve">Visitor and temporary badges shall look different from permanent badges, shall be valid only for the day or the approved period, and shall be returned on departure. (PE-3d)</w:t>
      </w:r>
    </w:p>
    <w:p>
      <w:pPr>
        <w:pStyle w:val="Compact"/>
        <w:numPr>
          <w:ilvl w:val="0"/>
          <w:numId w:val="1091"/>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91"/>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91"/>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91"/>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134" w:name="federal-systems-15"/>
    <w:p>
      <w:pPr>
        <w:pStyle w:val="Heading5"/>
      </w:pPr>
      <w:r>
        <w:t xml:space="preserve">Federal systems</w:t>
      </w:r>
    </w:p>
    <w:p>
      <w:pPr>
        <w:pStyle w:val="FirstParagraph"/>
      </w:pPr>
      <w:hyperlink r:id="rId90">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132">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133">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92"/>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92"/>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134"/>
    <w:bookmarkEnd w:id="135"/>
    <w:bookmarkStart w:id="136" w:name="monitoring-physical-access-pe-6"/>
    <w:p>
      <w:pPr>
        <w:pStyle w:val="Heading4"/>
      </w:pPr>
      <w:r>
        <w:t xml:space="preserve">Monitoring physical access (PE-6)</w:t>
      </w:r>
    </w:p>
    <w:p>
      <w:pPr>
        <w:pStyle w:val="Compact"/>
        <w:numPr>
          <w:ilvl w:val="0"/>
          <w:numId w:val="1093"/>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93"/>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93"/>
        </w:numPr>
      </w:pPr>
      <w:r>
        <w:t xml:space="preserve">Each review shall be recorded with its date, the reviewer, the period covered and the anomalies found. (PE-6b)</w:t>
      </w:r>
    </w:p>
    <w:p>
      <w:pPr>
        <w:pStyle w:val="Compact"/>
        <w:numPr>
          <w:ilvl w:val="0"/>
          <w:numId w:val="1093"/>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136"/>
    <w:bookmarkStart w:id="139" w:name="visitor-access-records-pe-8"/>
    <w:p>
      <w:pPr>
        <w:pStyle w:val="Heading4"/>
      </w:pPr>
      <w:r>
        <w:t xml:space="preserve">Visitor access records (PE-8)</w:t>
      </w:r>
    </w:p>
    <w:p>
      <w:pPr>
        <w:pStyle w:val="Compact"/>
        <w:numPr>
          <w:ilvl w:val="0"/>
          <w:numId w:val="1094"/>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94"/>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94"/>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94"/>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138" w:name="federal-systems-16"/>
    <w:p>
      <w:pPr>
        <w:pStyle w:val="Heading5"/>
      </w:pPr>
      <w:r>
        <w:t xml:space="preserve">Federal systems</w:t>
      </w:r>
    </w:p>
    <w:p>
      <w:pPr>
        <w:pStyle w:val="FirstParagraph"/>
      </w:pPr>
      <w:r>
        <w:t xml:space="preserve">The National Archives and Records Administration’s</w:t>
      </w:r>
      <w:r>
        <w:t xml:space="preserve"> </w:t>
      </w:r>
      <w:hyperlink r:id="rId137">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95"/>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138"/>
    <w:bookmarkEnd w:id="139"/>
    <w:bookmarkStart w:id="140" w:name="emergency-lighting-pe-12"/>
    <w:p>
      <w:pPr>
        <w:pStyle w:val="Heading4"/>
      </w:pPr>
      <w:r>
        <w:t xml:space="preserve">Emergency lighting (PE-12)</w:t>
      </w:r>
    </w:p>
    <w:p>
      <w:pPr>
        <w:pStyle w:val="Compact"/>
        <w:numPr>
          <w:ilvl w:val="0"/>
          <w:numId w:val="1096"/>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96"/>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96"/>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140"/>
    <w:bookmarkStart w:id="141" w:name="fire-protection-pe-13"/>
    <w:p>
      <w:pPr>
        <w:pStyle w:val="Heading4"/>
      </w:pPr>
      <w:r>
        <w:t xml:space="preserve">Fire protection (PE-13)</w:t>
      </w:r>
    </w:p>
    <w:p>
      <w:pPr>
        <w:pStyle w:val="Compact"/>
        <w:numPr>
          <w:ilvl w:val="0"/>
          <w:numId w:val="1097"/>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97"/>
        </w:numPr>
      </w:pPr>
      <w:r>
        <w:t xml:space="preserve">Fire detection and suppression systems shall be inspected, tested and maintained as the applicable fire code and the manufacturer require, and the records kept. (PE-13)</w:t>
      </w:r>
    </w:p>
    <w:p>
      <w:pPr>
        <w:pStyle w:val="Compact"/>
        <w:numPr>
          <w:ilvl w:val="0"/>
          <w:numId w:val="1097"/>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141"/>
    <w:bookmarkStart w:id="142" w:name="environmental-controls-pe-14"/>
    <w:p>
      <w:pPr>
        <w:pStyle w:val="Heading4"/>
      </w:pPr>
      <w:r>
        <w:t xml:space="preserve">Environmental controls (PE-14)</w:t>
      </w:r>
    </w:p>
    <w:p>
      <w:pPr>
        <w:pStyle w:val="Compact"/>
        <w:numPr>
          <w:ilvl w:val="0"/>
          <w:numId w:val="1098"/>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98"/>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98"/>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98"/>
        </w:numPr>
      </w:pPr>
      <w:r>
        <w:t xml:space="preserve">Cooling for areas that contain system components shall run independently of the building’s office schedule, with enough capacity or redundancy that the loss of one unit does not take the room out of range. (PE-14a)</w:t>
      </w:r>
    </w:p>
    <w:bookmarkEnd w:id="142"/>
    <w:bookmarkStart w:id="143" w:name="water-damage-protection-pe-15"/>
    <w:p>
      <w:pPr>
        <w:pStyle w:val="Heading4"/>
      </w:pPr>
      <w:r>
        <w:t xml:space="preserve">Water damage protection (PE-15)</w:t>
      </w:r>
    </w:p>
    <w:p>
      <w:pPr>
        <w:pStyle w:val="Compact"/>
        <w:numPr>
          <w:ilvl w:val="0"/>
          <w:numId w:val="1099"/>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99"/>
        </w:numPr>
      </w:pPr>
      <w:r>
        <w:t xml:space="preserve">The valves shall be labeled, shown on a facility plan kept with the contingency plan, kept clear of obstructions, and exercised at least annually. (PE-15)</w:t>
      </w:r>
    </w:p>
    <w:p>
      <w:pPr>
        <w:pStyle w:val="Compact"/>
        <w:numPr>
          <w:ilvl w:val="0"/>
          <w:numId w:val="1099"/>
        </w:numPr>
      </w:pPr>
      <w:r>
        <w:t xml:space="preserve">Key personnel, including the staff who work in areas that contain system components, shall be shown the valve locations and how to operate them. (PE-15)</w:t>
      </w:r>
    </w:p>
    <w:p>
      <w:pPr>
        <w:pStyle w:val="Compact"/>
        <w:numPr>
          <w:ilvl w:val="0"/>
          <w:numId w:val="1099"/>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143"/>
    <w:bookmarkStart w:id="144" w:name="delivery-and-removal-pe-16"/>
    <w:p>
      <w:pPr>
        <w:pStyle w:val="Heading4"/>
      </w:pPr>
      <w:r>
        <w:t xml:space="preserve">Delivery and removal (PE-16)</w:t>
      </w:r>
    </w:p>
    <w:p>
      <w:pPr>
        <w:pStyle w:val="Compact"/>
        <w:numPr>
          <w:ilvl w:val="0"/>
          <w:numId w:val="1100"/>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100"/>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100"/>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100"/>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100"/>
        </w:numPr>
      </w:pPr>
      <w:r>
        <w:t xml:space="preserve">Laptops and other devices issued to individuals may leave and return with their assigned user without a record of each trip, as long as they are recorded in the component inventory against that user. (PE-16a)</w:t>
      </w:r>
    </w:p>
    <w:bookmarkEnd w:id="144"/>
    <w:bookmarkEnd w:id="145"/>
    <w:bookmarkStart w:id="154" w:name="planning-pl"/>
    <w:p>
      <w:pPr>
        <w:pStyle w:val="Heading3"/>
      </w:pPr>
      <w:r>
        <w:t xml:space="preserve">Planning (PL)</w:t>
      </w:r>
    </w:p>
    <w:bookmarkStart w:id="146" w:name="system-security-and-privacy-plans-pl-2"/>
    <w:p>
      <w:pPr>
        <w:pStyle w:val="Heading4"/>
      </w:pPr>
      <w:r>
        <w:t xml:space="preserve">System security and privacy plans (PL-2)</w:t>
      </w:r>
    </w:p>
    <w:p>
      <w:pPr>
        <w:pStyle w:val="Compact"/>
        <w:numPr>
          <w:ilvl w:val="0"/>
          <w:numId w:val="1101"/>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101"/>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101"/>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101"/>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101"/>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101"/>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101"/>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146"/>
    <w:bookmarkStart w:id="147" w:name="rules-of-behavior-pl-4"/>
    <w:p>
      <w:pPr>
        <w:pStyle w:val="Heading4"/>
      </w:pPr>
      <w:r>
        <w:t xml:space="preserve">Rules of behavior (PL-4)</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102"/>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147"/>
    <w:bookmarkStart w:id="148" w:name="X3f2661dbd3565abe5da19344e4a6a2347ebad27"/>
    <w:p>
      <w:pPr>
        <w:pStyle w:val="Heading4"/>
      </w:pPr>
      <w:r>
        <w:t xml:space="preserve">Social media and external site and application usage restrictions (PL-4(1))</w:t>
      </w:r>
    </w:p>
    <w:p>
      <w:pPr>
        <w:pStyle w:val="Compact"/>
        <w:numPr>
          <w:ilvl w:val="0"/>
          <w:numId w:val="1103"/>
        </w:numPr>
      </w:pPr>
      <w:r>
        <w:t xml:space="preserve">The rules of behavior shall restrict the use of social media, social networking sites, and external sites and applications. (PL-4(1)(a))</w:t>
      </w:r>
    </w:p>
    <w:p>
      <w:pPr>
        <w:pStyle w:val="Compact"/>
        <w:numPr>
          <w:ilvl w:val="0"/>
          <w:numId w:val="1103"/>
        </w:numPr>
      </w:pPr>
      <w:r>
        <w:t xml:space="preserve">The rules of behavior shall restrict the posting of organizational information on public websites. (PL-4(1)(b))</w:t>
      </w:r>
    </w:p>
    <w:p>
      <w:pPr>
        <w:pStyle w:val="Compact"/>
        <w:numPr>
          <w:ilvl w:val="0"/>
          <w:numId w:val="1103"/>
        </w:numPr>
      </w:pPr>
      <w:r>
        <w:t xml:space="preserve">The rules of behavior shall restrict the use of organization-provided identifiers, such as email addresses, and authentication secrets, such as passwords, to create accounts on external sites and applications. (PL-4(1)(c))</w:t>
      </w:r>
    </w:p>
    <w:bookmarkEnd w:id="148"/>
    <w:bookmarkStart w:id="152" w:name="baseline-selection-pl-10"/>
    <w:p>
      <w:pPr>
        <w:pStyle w:val="Heading4"/>
      </w:pPr>
      <w:r>
        <w:t xml:space="preserve">Baseline selection (PL-10)</w:t>
      </w:r>
    </w:p>
    <w:p>
      <w:pPr>
        <w:pStyle w:val="Compact"/>
        <w:numPr>
          <w:ilvl w:val="0"/>
          <w:numId w:val="1104"/>
        </w:numPr>
      </w:pPr>
      <w:r>
        <w:t xml:space="preserve">Each</w:t>
      </w:r>
      <w:r>
        <w:t xml:space="preserve"> </w:t>
      </w:r>
      <w:r>
        <w:rPr>
          <w:rStyle w:val="Fill-in"/>
        </w:rPr>
        <w:t xml:space="preserve">[System owner]</w:t>
      </w:r>
      <w:r>
        <w:t xml:space="preserve"> </w:t>
      </w:r>
      <w:r>
        <w:t xml:space="preserve">shall select a control baseline for the system, based on its security categorization, and record the selection in the system security plan. (PL-10)</w:t>
      </w:r>
    </w:p>
    <w:p>
      <w:pPr>
        <w:pStyle w:val="Compact"/>
        <w:numPr>
          <w:ilvl w:val="0"/>
          <w:numId w:val="1104"/>
        </w:numPr>
      </w:pPr>
      <w:r>
        <w:t xml:space="preserve">A system that processes personally identifiable information shall also apply the privacy control baseline. (PL-10)</w:t>
      </w:r>
    </w:p>
    <w:bookmarkStart w:id="151" w:name="federal-systems-17"/>
    <w:p>
      <w:pPr>
        <w:pStyle w:val="Heading5"/>
      </w:pPr>
      <w:r>
        <w:t xml:space="preserve">Federal systems</w:t>
      </w:r>
    </w:p>
    <w:p>
      <w:pPr>
        <w:pStyle w:val="FirstParagraph"/>
      </w:pPr>
      <w:r>
        <w:t xml:space="preserve">Federal systems select the SP 800-53B security baseline that matches the system’s impact level: the highest impact level for confidentiality, integrity and availability under</w:t>
      </w:r>
      <w:r>
        <w:t xml:space="preserve"> </w:t>
      </w:r>
      <w:hyperlink r:id="rId149">
        <w:r>
          <w:rPr>
            <w:rStyle w:val="Hyperlink"/>
          </w:rPr>
          <w:t xml:space="preserve">FIPS 199</w:t>
        </w:r>
      </w:hyperlink>
      <w:r>
        <w:t xml:space="preserve">, as</w:t>
      </w:r>
      <w:r>
        <w:t xml:space="preserve"> </w:t>
      </w:r>
      <w:hyperlink r:id="rId150">
        <w:r>
          <w:rPr>
            <w:rStyle w:val="Hyperlink"/>
          </w:rPr>
          <w:t xml:space="preserve">FIPS 200</w:t>
        </w:r>
      </w:hyperlink>
      <w:r>
        <w:t xml:space="preserve"> </w:t>
      </w:r>
      <w:r>
        <w:t xml:space="preserve">specifies.</w:t>
      </w:r>
    </w:p>
    <w:p>
      <w:pPr>
        <w:pStyle w:val="Compact"/>
        <w:numPr>
          <w:ilvl w:val="0"/>
          <w:numId w:val="1105"/>
        </w:numPr>
      </w:pPr>
      <w:r>
        <w:t xml:space="preserve">The</w:t>
      </w:r>
      <w:r>
        <w:t xml:space="preserve"> </w:t>
      </w:r>
      <w:r>
        <w:rPr>
          <w:rStyle w:val="Fill-in"/>
        </w:rPr>
        <w:t xml:space="preserve">[System owner]</w:t>
      </w:r>
      <w:r>
        <w:t xml:space="preserve"> </w:t>
      </w:r>
      <w:r>
        <w:t xml:space="preserve">shall select the baseline that matches the system’s FIPS 199 impact level. (PL-10)</w:t>
      </w:r>
    </w:p>
    <w:bookmarkEnd w:id="151"/>
    <w:bookmarkEnd w:id="152"/>
    <w:bookmarkStart w:id="153" w:name="baseline-tailoring-pl-11"/>
    <w:p>
      <w:pPr>
        <w:pStyle w:val="Heading4"/>
      </w:pPr>
      <w:r>
        <w:t xml:space="preserve">Baseline tailoring (PL-11)</w:t>
      </w:r>
    </w:p>
    <w:p>
      <w:pPr>
        <w:pStyle w:val="Compact"/>
        <w:numPr>
          <w:ilvl w:val="0"/>
          <w:numId w:val="1106"/>
        </w:numPr>
      </w:pPr>
      <w:r>
        <w:t xml:space="preserve">Each</w:t>
      </w:r>
      <w:r>
        <w:t xml:space="preserve"> </w:t>
      </w:r>
      <w:r>
        <w:rPr>
          <w:rStyle w:val="Fill-in"/>
        </w:rPr>
        <w:t xml:space="preserve">[System owner]</w:t>
      </w:r>
      <w:r>
        <w:t xml:space="preserve"> </w:t>
      </w:r>
      <w:r>
        <w:t xml:space="preserve">shall tailor the selected control baseline by applying specified tailoring actions. (PL-11)</w:t>
      </w:r>
    </w:p>
    <w:p>
      <w:pPr>
        <w:pStyle w:val="Compact"/>
        <w:numPr>
          <w:ilvl w:val="0"/>
          <w:numId w:val="1106"/>
        </w:numPr>
      </w:pPr>
      <w:r>
        <w:t xml:space="preserve">The</w:t>
      </w:r>
      <w:r>
        <w:t xml:space="preserve"> </w:t>
      </w:r>
      <w:r>
        <w:rPr>
          <w:rStyle w:val="Fill-in"/>
        </w:rPr>
        <w:t xml:space="preserve">[System owner]</w:t>
      </w:r>
      <w:r>
        <w:t xml:space="preserve"> </w:t>
      </w:r>
      <w:r>
        <w:t xml:space="preserve">shall document each tailoring decision, with its rationale, in the system security plan, and have the authorizing official approve it with the plan. (PL-11)</w:t>
      </w:r>
    </w:p>
    <w:bookmarkEnd w:id="153"/>
    <w:bookmarkEnd w:id="154"/>
    <w:bookmarkStart w:id="208" w:name="program-management-pm"/>
    <w:p>
      <w:pPr>
        <w:pStyle w:val="Heading3"/>
      </w:pPr>
      <w:r>
        <w:t xml:space="preserve">Program Management (PM)</w:t>
      </w:r>
    </w:p>
    <w:bookmarkStart w:id="156" w:name="information-security-program-plan-pm-1"/>
    <w:p>
      <w:pPr>
        <w:pStyle w:val="Heading4"/>
      </w:pPr>
      <w:r>
        <w:t xml:space="preserve">Information security program plan (PM-1)</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107"/>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107"/>
        </w:numPr>
      </w:pPr>
      <w:r>
        <w:t xml:space="preserve">The plan shall identify and assign roles and responsibilities, and describe management commitment, coordination among organizational entities, and compliance. (PM-1a.2)</w:t>
      </w:r>
    </w:p>
    <w:p>
      <w:pPr>
        <w:pStyle w:val="Compact"/>
        <w:numPr>
          <w:ilvl w:val="0"/>
          <w:numId w:val="1107"/>
        </w:numPr>
      </w:pPr>
      <w:r>
        <w:t xml:space="preserve">The plan shall reflect the coordination among the organizational entities responsible for information security. (PM-1a.3)</w:t>
      </w:r>
    </w:p>
    <w:p>
      <w:pPr>
        <w:pStyle w:val="Compact"/>
        <w:numPr>
          <w:ilvl w:val="0"/>
          <w:numId w:val="1107"/>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107"/>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155" w:name="federal-systems-18"/>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34">
        <w:r>
          <w:rPr>
            <w:rStyle w:val="Hyperlink"/>
          </w:rPr>
          <w:t xml:space="preserve">44 U.S.C. § 3554(b)</w:t>
        </w:r>
      </w:hyperlink>
      <w:r>
        <w:t xml:space="preserve">) and</w:t>
      </w:r>
      <w:r>
        <w:t xml:space="preserve"> </w:t>
      </w:r>
      <w:hyperlink r:id="rId35">
        <w:r>
          <w:rPr>
            <w:rStyle w:val="Hyperlink"/>
          </w:rPr>
          <w:t xml:space="preserve">OMB Circular A-130</w:t>
        </w:r>
      </w:hyperlink>
      <w:r>
        <w:t xml:space="preserve">, Appendix I, Responsibilities for Protecting and Managing Federal Information Resources.</w:t>
      </w:r>
    </w:p>
    <w:p>
      <w:pPr>
        <w:pStyle w:val="Compact"/>
        <w:numPr>
          <w:ilvl w:val="0"/>
          <w:numId w:val="1108"/>
        </w:numPr>
      </w:pPr>
      <w:r>
        <w:t xml:space="preserve">The program plan shall carry out the agency-wide information security program that 44 U.S.C. § 3554(b) requires. (PM-1a)</w:t>
      </w:r>
    </w:p>
    <w:bookmarkEnd w:id="155"/>
    <w:bookmarkEnd w:id="156"/>
    <w:bookmarkStart w:id="158" w:name="Xc2c9d760733e0b663fcb078fdf1efa39c7f55d5"/>
    <w:p>
      <w:pPr>
        <w:pStyle w:val="Heading4"/>
      </w:pPr>
      <w:r>
        <w:t xml:space="preserve">Information security program leadership role (PM-2)</w:t>
      </w:r>
    </w:p>
    <w:p>
      <w:pPr>
        <w:pStyle w:val="Compact"/>
        <w:numPr>
          <w:ilvl w:val="0"/>
          <w:numId w:val="1109"/>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109"/>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157" w:name="federal-systems-19"/>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34">
        <w:r>
          <w:rPr>
            <w:rStyle w:val="Hyperlink"/>
          </w:rPr>
          <w:t xml:space="preserve">44 U.S.C. § 3554(a)(3)(A)</w:t>
        </w:r>
      </w:hyperlink>
      <w:r>
        <w:t xml:space="preserve">).</w:t>
      </w:r>
    </w:p>
    <w:p>
      <w:pPr>
        <w:pStyle w:val="Compact"/>
        <w:numPr>
          <w:ilvl w:val="0"/>
          <w:numId w:val="1110"/>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157"/>
    <w:bookmarkEnd w:id="158"/>
    <w:bookmarkStart w:id="159" w:name="Xfcec5071c9897bbc6d64892dc0e175744cab35d"/>
    <w:p>
      <w:pPr>
        <w:pStyle w:val="Heading4"/>
      </w:pPr>
      <w:r>
        <w:t xml:space="preserve">Information security and privacy resources (PM-3)</w:t>
      </w:r>
    </w:p>
    <w:p>
      <w:pPr>
        <w:pStyle w:val="Compact"/>
        <w:numPr>
          <w:ilvl w:val="0"/>
          <w:numId w:val="111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111"/>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11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111"/>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159"/>
    <w:bookmarkStart w:id="160" w:name="X1bad626ab0d953715de5fbd154806c87772e1ac"/>
    <w:p>
      <w:pPr>
        <w:pStyle w:val="Heading4"/>
      </w:pPr>
      <w:r>
        <w:t xml:space="preserve">Plan of action and milestones process (PM-4)</w:t>
      </w:r>
    </w:p>
    <w:p>
      <w:pPr>
        <w:pStyle w:val="Compact"/>
        <w:numPr>
          <w:ilvl w:val="0"/>
          <w:numId w:val="1112"/>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112"/>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112"/>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112"/>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160"/>
    <w:bookmarkStart w:id="163" w:name="system-inventory-pm-5"/>
    <w:p>
      <w:pPr>
        <w:pStyle w:val="Heading4"/>
      </w:pPr>
      <w:r>
        <w:t xml:space="preserve">System inventory (PM-5)</w:t>
      </w:r>
    </w:p>
    <w:p>
      <w:pPr>
        <w:pStyle w:val="Compact"/>
        <w:numPr>
          <w:ilvl w:val="0"/>
          <w:numId w:val="1113"/>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113"/>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162" w:name="federal-systems-20"/>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161">
        <w:r>
          <w:rPr>
            <w:rStyle w:val="Hyperlink"/>
          </w:rPr>
          <w:t xml:space="preserve">44 U.S.C. § 3505(c)</w:t>
        </w:r>
      </w:hyperlink>
      <w:r>
        <w:t xml:space="preserve">).</w:t>
      </w:r>
    </w:p>
    <w:p>
      <w:pPr>
        <w:pStyle w:val="Compact"/>
        <w:numPr>
          <w:ilvl w:val="0"/>
          <w:numId w:val="1114"/>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162"/>
    <w:bookmarkEnd w:id="163"/>
    <w:bookmarkStart w:id="164" w:name="Xfdd46d8e50d99a2ff3d2a48ac50ff39393f0346"/>
    <w:p>
      <w:pPr>
        <w:pStyle w:val="Heading4"/>
      </w:pPr>
      <w:r>
        <w:t xml:space="preserve">Inventory of personally identifiable information (PM-5(1))</w:t>
      </w:r>
    </w:p>
    <w:p>
      <w:pPr>
        <w:pStyle w:val="Compact"/>
        <w:numPr>
          <w:ilvl w:val="0"/>
          <w:numId w:val="1115"/>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164"/>
    <w:bookmarkStart w:id="165" w:name="measures-of-performance-pm-6"/>
    <w:p>
      <w:pPr>
        <w:pStyle w:val="Heading4"/>
      </w:pPr>
      <w:r>
        <w:t xml:space="preserve">Measures of performance (PM-6)</w:t>
      </w:r>
    </w:p>
    <w:p>
      <w:pPr>
        <w:pStyle w:val="Compact"/>
        <w:numPr>
          <w:ilvl w:val="0"/>
          <w:numId w:val="1116"/>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116"/>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11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165"/>
    <w:bookmarkStart w:id="166" w:name="enterprise-architecture-pm-7"/>
    <w:p>
      <w:pPr>
        <w:pStyle w:val="Heading4"/>
      </w:pPr>
      <w:r>
        <w:t xml:space="preserve">Enterprise architecture (PM-7)</w:t>
      </w:r>
    </w:p>
    <w:p>
      <w:pPr>
        <w:pStyle w:val="Compact"/>
        <w:numPr>
          <w:ilvl w:val="0"/>
          <w:numId w:val="1117"/>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117"/>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166"/>
    <w:bookmarkStart w:id="167" w:name="offloading-pm-71"/>
    <w:p>
      <w:pPr>
        <w:pStyle w:val="Heading4"/>
      </w:pPr>
      <w:r>
        <w:t xml:space="preserve">Offloading (PM-7(1))</w:t>
      </w:r>
    </w:p>
    <w:p>
      <w:pPr>
        <w:pStyle w:val="Compact"/>
        <w:numPr>
          <w:ilvl w:val="0"/>
          <w:numId w:val="1118"/>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167"/>
    <w:bookmarkStart w:id="168" w:name="critical-infrastructure-plan-pm-8"/>
    <w:p>
      <w:pPr>
        <w:pStyle w:val="Heading4"/>
      </w:pPr>
      <w:r>
        <w:t xml:space="preserve">Critical infrastructure plan (PM-8)</w:t>
      </w:r>
    </w:p>
    <w:p>
      <w:pPr>
        <w:pStyle w:val="Compact"/>
        <w:numPr>
          <w:ilvl w:val="0"/>
          <w:numId w:val="111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168"/>
    <w:bookmarkStart w:id="169" w:name="risk-management-strategy-pm-9"/>
    <w:p>
      <w:pPr>
        <w:pStyle w:val="Heading4"/>
      </w:pPr>
      <w:r>
        <w:t xml:space="preserve">Risk management strategy (PM-9)</w:t>
      </w:r>
    </w:p>
    <w:p>
      <w:pPr>
        <w:pStyle w:val="Compact"/>
        <w:numPr>
          <w:ilvl w:val="0"/>
          <w:numId w:val="1120"/>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120"/>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120"/>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120"/>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120"/>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169"/>
    <w:bookmarkStart w:id="170" w:name="authorization-process-pm-10"/>
    <w:p>
      <w:pPr>
        <w:pStyle w:val="Heading4"/>
      </w:pPr>
      <w:r>
        <w:t xml:space="preserve">Authorization process (PM-10)</w:t>
      </w:r>
    </w:p>
    <w:p>
      <w:pPr>
        <w:pStyle w:val="Compact"/>
        <w:numPr>
          <w:ilvl w:val="0"/>
          <w:numId w:val="1121"/>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121"/>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121"/>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170"/>
    <w:bookmarkStart w:id="171" w:name="Xd0af50a3aadb5a78babad0afeac67d3d9549b2b"/>
    <w:p>
      <w:pPr>
        <w:pStyle w:val="Heading4"/>
      </w:pPr>
      <w:r>
        <w:t xml:space="preserve">Mission and business process definition (PM-11)</w:t>
      </w:r>
    </w:p>
    <w:p>
      <w:pPr>
        <w:pStyle w:val="Compact"/>
        <w:numPr>
          <w:ilvl w:val="0"/>
          <w:numId w:val="1122"/>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122"/>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122"/>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171"/>
    <w:bookmarkStart w:id="174" w:name="insider-threat-program-pm-12"/>
    <w:p>
      <w:pPr>
        <w:pStyle w:val="Heading4"/>
      </w:pPr>
      <w:r>
        <w:t xml:space="preserve">Insider threat program (PM-12)</w:t>
      </w:r>
    </w:p>
    <w:p>
      <w:pPr>
        <w:pStyle w:val="Compact"/>
        <w:numPr>
          <w:ilvl w:val="0"/>
          <w:numId w:val="1123"/>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123"/>
        </w:numPr>
      </w:pPr>
      <w:r>
        <w:t xml:space="preserve">The program shall include a cross-discipline insider threat incident handling team, with members from at least security, human resources, legal and privacy. (PM-12)</w:t>
      </w:r>
    </w:p>
    <w:bookmarkStart w:id="173" w:name="federal-systems-21"/>
    <w:p>
      <w:pPr>
        <w:pStyle w:val="Heading5"/>
      </w:pPr>
      <w:r>
        <w:t xml:space="preserve">Federal systems</w:t>
      </w:r>
    </w:p>
    <w:p>
      <w:pPr>
        <w:pStyle w:val="FirstParagraph"/>
      </w:pPr>
      <w:hyperlink r:id="rId172">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124"/>
        </w:numPr>
      </w:pPr>
      <w:r>
        <w:t xml:space="preserve">If the agency operates or accesses classified computer networks, the insider threat program shall meet Executive Order 13587, section 2.1(b), and the guidance and standards of the Insider Threat Task Force. (PM-12)</w:t>
      </w:r>
    </w:p>
    <w:bookmarkEnd w:id="173"/>
    <w:bookmarkEnd w:id="174"/>
    <w:bookmarkStart w:id="175" w:name="security-and-privacy-workforce-pm-13"/>
    <w:p>
      <w:pPr>
        <w:pStyle w:val="Heading4"/>
      </w:pPr>
      <w:r>
        <w:t xml:space="preserve">Security and privacy workforce (PM-13)</w:t>
      </w:r>
    </w:p>
    <w:p>
      <w:pPr>
        <w:pStyle w:val="Compact"/>
        <w:numPr>
          <w:ilvl w:val="0"/>
          <w:numId w:val="112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125"/>
        </w:numPr>
      </w:pPr>
      <w:r>
        <w:t xml:space="preserve">The program shall define the knowledge and skills each security and privacy role needs, and the training and development that build them. (PM-13)</w:t>
      </w:r>
    </w:p>
    <w:bookmarkEnd w:id="175"/>
    <w:bookmarkStart w:id="176" w:name="testing-training-and-monitoring-pm-14"/>
    <w:p>
      <w:pPr>
        <w:pStyle w:val="Heading4"/>
      </w:pPr>
      <w:r>
        <w:t xml:space="preserve">Testing, training and monitoring (PM-14)</w:t>
      </w:r>
    </w:p>
    <w:p>
      <w:pPr>
        <w:pStyle w:val="Compact"/>
        <w:numPr>
          <w:ilvl w:val="0"/>
          <w:numId w:val="1126"/>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126"/>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126"/>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176"/>
    <w:bookmarkStart w:id="177" w:name="X295d60eef42c03d3703d70d5598c29f0ff37448"/>
    <w:p>
      <w:pPr>
        <w:pStyle w:val="Heading4"/>
      </w:pPr>
      <w:r>
        <w:t xml:space="preserve">Security and privacy groups and associations (PM-15)</w:t>
      </w:r>
    </w:p>
    <w:p>
      <w:pPr>
        <w:pStyle w:val="Compact"/>
        <w:numPr>
          <w:ilvl w:val="0"/>
          <w:numId w:val="1127"/>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127"/>
        </w:numPr>
      </w:pPr>
      <w:r>
        <w:t xml:space="preserve">The organization shall use those contacts to support ongoing security and privacy education and training for its personnel. (PM-15a)</w:t>
      </w:r>
    </w:p>
    <w:p>
      <w:pPr>
        <w:pStyle w:val="Compact"/>
        <w:numPr>
          <w:ilvl w:val="0"/>
          <w:numId w:val="1127"/>
        </w:numPr>
      </w:pPr>
      <w:r>
        <w:t xml:space="preserve">The organization shall use those contacts to stay current with recommended security and privacy practices, techniques and technologies. (PM-15b)</w:t>
      </w:r>
    </w:p>
    <w:p>
      <w:pPr>
        <w:pStyle w:val="Compact"/>
        <w:numPr>
          <w:ilvl w:val="0"/>
          <w:numId w:val="1127"/>
        </w:numPr>
      </w:pPr>
      <w:r>
        <w:t xml:space="preserve">The organization shall use those contacts to share current security and privacy information, including threats, vulnerabilities and incidents. (PM-15c)</w:t>
      </w:r>
    </w:p>
    <w:bookmarkEnd w:id="177"/>
    <w:bookmarkStart w:id="178" w:name="threat-awareness-program-pm-16"/>
    <w:p>
      <w:pPr>
        <w:pStyle w:val="Heading4"/>
      </w:pPr>
      <w:r>
        <w:t xml:space="preserve">Threat awareness program (PM-16)</w:t>
      </w:r>
    </w:p>
    <w:p>
      <w:pPr>
        <w:pStyle w:val="Compact"/>
        <w:numPr>
          <w:ilvl w:val="0"/>
          <w:numId w:val="1128"/>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128"/>
        </w:numPr>
      </w:pPr>
      <w:r>
        <w:t xml:space="preserve">The program shall include a capability to share threat intelligence with other organizations. (PM-16)</w:t>
      </w:r>
    </w:p>
    <w:bookmarkEnd w:id="178"/>
    <w:bookmarkStart w:id="179" w:name="Xe86a6af6832bc7c5449cc45bcce4db3ae940100"/>
    <w:p>
      <w:pPr>
        <w:pStyle w:val="Heading4"/>
      </w:pPr>
      <w:r>
        <w:t xml:space="preserve">Automated means for sharing threat intelligence (PM-16(1))</w:t>
      </w:r>
    </w:p>
    <w:p>
      <w:pPr>
        <w:pStyle w:val="Compact"/>
        <w:numPr>
          <w:ilvl w:val="0"/>
          <w:numId w:val="1129"/>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179"/>
    <w:bookmarkStart w:id="183" w:name="X9caffbee26b5c63bed776c5d2d7f8e03874faa7"/>
    <w:p>
      <w:pPr>
        <w:pStyle w:val="Heading4"/>
      </w:pPr>
      <w:r>
        <w:t xml:space="preserve">Protecting controlled unclassified information on external systems (PM-17)</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182" w:name="federal-systems-22"/>
    <w:p>
      <w:pPr>
        <w:pStyle w:val="Heading5"/>
      </w:pPr>
      <w:r>
        <w:t xml:space="preserve">Federal systems</w:t>
      </w:r>
    </w:p>
    <w:p>
      <w:pPr>
        <w:pStyle w:val="FirstParagraph"/>
      </w:pPr>
      <w:r>
        <w:t xml:space="preserve">Under</w:t>
      </w:r>
      <w:r>
        <w:t xml:space="preserve"> </w:t>
      </w:r>
      <w:hyperlink r:id="rId124">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180">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181">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131"/>
        </w:numPr>
      </w:pPr>
      <w:r>
        <w:t xml:space="preserve">Each agreement that shares CUI with a non-federal organization shall require the recipient to protect it as 32 CFR 2002.14(h) requires, and shall name the revision of NIST SP 800-171 that applies. (PM-17a)</w:t>
      </w:r>
    </w:p>
    <w:bookmarkEnd w:id="182"/>
    <w:bookmarkEnd w:id="183"/>
    <w:bookmarkStart w:id="185" w:name="privacy-program-plan-pm-18"/>
    <w:p>
      <w:pPr>
        <w:pStyle w:val="Heading4"/>
      </w:pPr>
      <w:r>
        <w:t xml:space="preserve">Privacy program plan (PM-18)</w:t>
      </w:r>
    </w:p>
    <w:p>
      <w:pPr>
        <w:pStyle w:val="Compact"/>
        <w:numPr>
          <w:ilvl w:val="0"/>
          <w:numId w:val="1132"/>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132"/>
        </w:numPr>
      </w:pPr>
      <w:r>
        <w:t xml:space="preserve">The plan shall describe the structure of the privacy program and the resources dedicated to it. (PM-18a.1)</w:t>
      </w:r>
    </w:p>
    <w:p>
      <w:pPr>
        <w:pStyle w:val="Compact"/>
        <w:numPr>
          <w:ilvl w:val="0"/>
          <w:numId w:val="1132"/>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132"/>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132"/>
        </w:numPr>
      </w:pPr>
      <w:r>
        <w:t xml:space="preserve">The plan shall describe management commitment, compliance, and the strategic goals and objectives of the privacy program. (PM-18a.4)</w:t>
      </w:r>
    </w:p>
    <w:p>
      <w:pPr>
        <w:pStyle w:val="Compact"/>
        <w:numPr>
          <w:ilvl w:val="0"/>
          <w:numId w:val="1132"/>
        </w:numPr>
      </w:pPr>
      <w:r>
        <w:t xml:space="preserve">The plan shall reflect coordination among the organizational entities responsible for the different aspects of privacy. (PM-18a.5)</w:t>
      </w:r>
    </w:p>
    <w:p>
      <w:pPr>
        <w:pStyle w:val="Compact"/>
        <w:numPr>
          <w:ilvl w:val="0"/>
          <w:numId w:val="1132"/>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132"/>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184" w:name="federal-systems-23"/>
    <w:p>
      <w:pPr>
        <w:pStyle w:val="Heading5"/>
      </w:pPr>
      <w:r>
        <w:t xml:space="preserve">Federal systems</w:t>
      </w:r>
    </w:p>
    <w:p>
      <w:pPr>
        <w:pStyle w:val="FirstParagraph"/>
      </w:pPr>
      <w:hyperlink r:id="rId35">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133"/>
        </w:numPr>
      </w:pPr>
      <w:r>
        <w:t xml:space="preserve">The plan shall address the changes in federal privacy laws and policy that apply to the agency. (PM-18b)</w:t>
      </w:r>
    </w:p>
    <w:bookmarkEnd w:id="184"/>
    <w:bookmarkEnd w:id="185"/>
    <w:bookmarkStart w:id="187" w:name="privacy-program-leadership-role-pm-19"/>
    <w:p>
      <w:pPr>
        <w:pStyle w:val="Heading4"/>
      </w:pPr>
      <w:r>
        <w:t xml:space="preserve">Privacy program leadership role (PM-19)</w:t>
      </w:r>
    </w:p>
    <w:p>
      <w:pPr>
        <w:pStyle w:val="Compact"/>
        <w:numPr>
          <w:ilvl w:val="0"/>
          <w:numId w:val="1134"/>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134"/>
        </w:numPr>
      </w:pPr>
      <w:r>
        <w:t xml:space="preserve">The</w:t>
      </w:r>
      <w:r>
        <w:t xml:space="preserve"> </w:t>
      </w:r>
      <w:r>
        <w:rPr>
          <w:rStyle w:val="Fill-in"/>
        </w:rPr>
        <w:t xml:space="preserve">[Senior leader]</w:t>
      </w:r>
      <w:r>
        <w:t xml:space="preserve"> </w:t>
      </w:r>
      <w:r>
        <w:t xml:space="preserve">shall record the appointment in writing. (PM-19)</w:t>
      </w:r>
    </w:p>
    <w:bookmarkStart w:id="186" w:name="federal-systems-24"/>
    <w:p>
      <w:pPr>
        <w:pStyle w:val="Heading5"/>
      </w:pPr>
      <w:r>
        <w:t xml:space="preserve">Federal systems</w:t>
      </w:r>
    </w:p>
    <w:p>
      <w:pPr>
        <w:pStyle w:val="FirstParagraph"/>
      </w:pPr>
      <w:hyperlink r:id="rId35">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135"/>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186"/>
    <w:bookmarkEnd w:id="187"/>
    <w:bookmarkStart w:id="190" w:name="X8c58b1a686d2e657983ac5a638c64d23a299233"/>
    <w:p>
      <w:pPr>
        <w:pStyle w:val="Heading4"/>
      </w:pPr>
      <w:r>
        <w:t xml:space="preserve">Dissemination of privacy program information (PM-20)</w:t>
      </w:r>
    </w:p>
    <w:p>
      <w:pPr>
        <w:pStyle w:val="Compact"/>
        <w:numPr>
          <w:ilvl w:val="0"/>
          <w:numId w:val="1136"/>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136"/>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136"/>
        </w:numPr>
      </w:pPr>
      <w:r>
        <w:t xml:space="preserve">The page shall make the organization’s privacy practices and reports publicly available. (PM-20b)</w:t>
      </w:r>
    </w:p>
    <w:p>
      <w:pPr>
        <w:pStyle w:val="Compact"/>
        <w:numPr>
          <w:ilvl w:val="0"/>
          <w:numId w:val="1136"/>
        </w:numPr>
      </w:pPr>
      <w:r>
        <w:t xml:space="preserve">The page shall list a public email address or phone line for feedback and questions to the privacy office. (PM-20c)</w:t>
      </w:r>
    </w:p>
    <w:bookmarkStart w:id="189" w:name="federal-systems-25"/>
    <w:p>
      <w:pPr>
        <w:pStyle w:val="Heading5"/>
      </w:pPr>
      <w:r>
        <w:t xml:space="preserve">Federal systems</w:t>
      </w:r>
    </w:p>
    <w:p>
      <w:pPr>
        <w:pStyle w:val="FirstParagraph"/>
      </w:pPr>
      <w:hyperlink r:id="rId188">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137"/>
        </w:numPr>
      </w:pPr>
      <w:r>
        <w:t xml:space="preserve">The privacy webpage shall be located at the address M-23-22 requires,</w:t>
      </w:r>
      <w:r>
        <w:t xml:space="preserve"> </w:t>
      </w:r>
      <w:r>
        <w:rPr>
          <w:rStyle w:val="VerbatimChar"/>
        </w:rPr>
        <w:t xml:space="preserve">www.[agency].gov/privacy</w:t>
      </w:r>
      <w:r>
        <w:t xml:space="preserve">. (PM-20)</w:t>
      </w:r>
    </w:p>
    <w:bookmarkEnd w:id="189"/>
    <w:bookmarkEnd w:id="190"/>
    <w:bookmarkStart w:id="191" w:name="Xe8d1be3de77fe075c208d4409c9bd299e6e15d7"/>
    <w:p>
      <w:pPr>
        <w:pStyle w:val="Heading4"/>
      </w:pPr>
      <w:r>
        <w:t xml:space="preserve">Privacy policies on websites, applications and digital services (PM-20(1))</w:t>
      </w:r>
    </w:p>
    <w:p>
      <w:pPr>
        <w:pStyle w:val="Compact"/>
        <w:numPr>
          <w:ilvl w:val="0"/>
          <w:numId w:val="1138"/>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138"/>
        </w:numPr>
      </w:pPr>
      <w:r>
        <w:t xml:space="preserve">Each privacy policy shall be written in plain language and organized so that it is easy to understand and navigate. (PM-20(1)(a))</w:t>
      </w:r>
    </w:p>
    <w:p>
      <w:pPr>
        <w:pStyle w:val="Compact"/>
        <w:numPr>
          <w:ilvl w:val="0"/>
          <w:numId w:val="1138"/>
        </w:numPr>
      </w:pPr>
      <w:r>
        <w:t xml:space="preserve">Each privacy policy shall give the public the information it needs to decide whether and how to interact with the organization. (PM-20(1)(b))</w:t>
      </w:r>
    </w:p>
    <w:p>
      <w:pPr>
        <w:pStyle w:val="Compact"/>
        <w:numPr>
          <w:ilvl w:val="0"/>
          <w:numId w:val="1138"/>
        </w:numPr>
      </w:pPr>
      <w:r>
        <w:t xml:space="preserve">Each privacy policy shall be updated whenever the organization makes a substantive change to the practices it describes, and shall show the date of the latest change. (PM-20(1)(c))</w:t>
      </w:r>
    </w:p>
    <w:bookmarkEnd w:id="191"/>
    <w:bookmarkStart w:id="194" w:name="accounting-of-disclosures-pm-21"/>
    <w:p>
      <w:pPr>
        <w:pStyle w:val="Heading4"/>
      </w:pPr>
      <w:r>
        <w:t xml:space="preserve">Accounting of disclosures (PM-21)</w:t>
      </w:r>
    </w:p>
    <w:p>
      <w:pPr>
        <w:pStyle w:val="Compact"/>
        <w:numPr>
          <w:ilvl w:val="0"/>
          <w:numId w:val="1139"/>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139"/>
        </w:numPr>
      </w:pPr>
      <w:r>
        <w:t xml:space="preserve">The accounting shall record the name and address, or other contact information, of the individual or organization that received the disclosure. (PM-21a.2)</w:t>
      </w:r>
    </w:p>
    <w:p>
      <w:pPr>
        <w:pStyle w:val="Compact"/>
        <w:numPr>
          <w:ilvl w:val="0"/>
          <w:numId w:val="1139"/>
        </w:numPr>
      </w:pPr>
      <w:r>
        <w:t xml:space="preserve">The accounting shall be kept for as long as the personally identifiable information is maintained or five years after the disclosure, whichever is longer. (PM-21b)</w:t>
      </w:r>
    </w:p>
    <w:p>
      <w:pPr>
        <w:pStyle w:val="Compact"/>
        <w:numPr>
          <w:ilvl w:val="0"/>
          <w:numId w:val="1139"/>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193" w:name="federal-systems-26"/>
    <w:p>
      <w:pPr>
        <w:pStyle w:val="Heading5"/>
      </w:pPr>
      <w:r>
        <w:t xml:space="preserve">Federal systems</w:t>
      </w:r>
    </w:p>
    <w:p>
      <w:pPr>
        <w:pStyle w:val="FirstParagraph"/>
      </w:pPr>
      <w:r>
        <w:t xml:space="preserve">For records in a Privacy Act system of records,</w:t>
      </w:r>
      <w:r>
        <w:t xml:space="preserve"> </w:t>
      </w:r>
      <w:hyperlink r:id="rId192">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140"/>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193"/>
    <w:bookmarkEnd w:id="194"/>
    <w:bookmarkStart w:id="195" w:name="X7569689a71f1327a9a5746a49abc189c947a1f2"/>
    <w:p>
      <w:pPr>
        <w:pStyle w:val="Heading4"/>
      </w:pPr>
      <w:r>
        <w:t xml:space="preserve">Personally identifiable information quality management (PM-22)</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141"/>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195"/>
    <w:bookmarkStart w:id="196" w:name="data-governance-body-pm-23"/>
    <w:p>
      <w:pPr>
        <w:pStyle w:val="Heading4"/>
      </w:pPr>
      <w:r>
        <w:t xml:space="preserve">Data governance body (PM-23)</w:t>
      </w:r>
    </w:p>
    <w:p>
      <w:pPr>
        <w:pStyle w:val="Compact"/>
        <w:numPr>
          <w:ilvl w:val="0"/>
          <w:numId w:val="1142"/>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196"/>
    <w:bookmarkStart w:id="198" w:name="data-integrity-board-pm-24"/>
    <w:p>
      <w:pPr>
        <w:pStyle w:val="Heading4"/>
      </w:pPr>
      <w:r>
        <w:t xml:space="preserve">Data integrity board (PM-24)</w:t>
      </w:r>
    </w:p>
    <w:p>
      <w:pPr>
        <w:pStyle w:val="Compact"/>
        <w:numPr>
          <w:ilvl w:val="0"/>
          <w:numId w:val="1143"/>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143"/>
        </w:numPr>
      </w:pPr>
      <w:r>
        <w:t xml:space="preserve">The board shall review each proposal to conduct or take part in a matching program before the organization commits to it. (PM-24a)</w:t>
      </w:r>
    </w:p>
    <w:p>
      <w:pPr>
        <w:pStyle w:val="Compact"/>
        <w:numPr>
          <w:ilvl w:val="0"/>
          <w:numId w:val="1143"/>
        </w:numPr>
      </w:pPr>
      <w:r>
        <w:t xml:space="preserve">The board shall review, each year, every matching program the organization took part in. (PM-24b)</w:t>
      </w:r>
    </w:p>
    <w:bookmarkStart w:id="197" w:name="federal-systems-27"/>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192">
        <w:r>
          <w:rPr>
            <w:rStyle w:val="Hyperlink"/>
          </w:rPr>
          <w:t xml:space="preserve">5 U.S.C. § 552a(u)</w:t>
        </w:r>
      </w:hyperlink>
      <w:r>
        <w:t xml:space="preserve">).</w:t>
      </w:r>
    </w:p>
    <w:p>
      <w:pPr>
        <w:pStyle w:val="Compact"/>
        <w:numPr>
          <w:ilvl w:val="0"/>
          <w:numId w:val="1144"/>
        </w:numPr>
      </w:pPr>
      <w:r>
        <w:t xml:space="preserve">The data integrity board shall be established, staffed and run as 5 U.S.C. § 552a(u) requires. (PM-24)</w:t>
      </w:r>
    </w:p>
    <w:bookmarkEnd w:id="197"/>
    <w:bookmarkEnd w:id="198"/>
    <w:bookmarkStart w:id="199" w:name="X60a37a65fbb871e1bf4e10c6dadffc80a4b8ade"/>
    <w:p>
      <w:pPr>
        <w:pStyle w:val="Heading4"/>
      </w:pPr>
      <w:r>
        <w:t xml:space="preserve">Minimization of personally identifiable information used in testing, training and research (PM-25)</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145"/>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145"/>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199"/>
    <w:bookmarkStart w:id="200" w:name="complaint-management-pm-26"/>
    <w:p>
      <w:pPr>
        <w:pStyle w:val="Heading4"/>
      </w:pPr>
      <w:r>
        <w:t xml:space="preserve">Complaint management (PM-26)</w:t>
      </w:r>
    </w:p>
    <w:p>
      <w:pPr>
        <w:pStyle w:val="Compact"/>
        <w:numPr>
          <w:ilvl w:val="0"/>
          <w:numId w:val="1146"/>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146"/>
        </w:numPr>
      </w:pPr>
      <w:r>
        <w:t xml:space="preserve">The process shall offer ways to file that are easy to use and readily accessible to the public. (PM-26a)</w:t>
      </w:r>
    </w:p>
    <w:p>
      <w:pPr>
        <w:pStyle w:val="Compact"/>
        <w:numPr>
          <w:ilvl w:val="0"/>
          <w:numId w:val="1146"/>
        </w:numPr>
      </w:pPr>
      <w:r>
        <w:t xml:space="preserve">The process shall tell individuals all the information they need to file a complaint successfully. (PM-26b)</w:t>
      </w:r>
    </w:p>
    <w:p>
      <w:pPr>
        <w:pStyle w:val="Compact"/>
        <w:numPr>
          <w:ilvl w:val="0"/>
          <w:numId w:val="1146"/>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146"/>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146"/>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200"/>
    <w:bookmarkStart w:id="201" w:name="privacy-reporting-pm-27"/>
    <w:p>
      <w:pPr>
        <w:pStyle w:val="Heading4"/>
      </w:pPr>
      <w:r>
        <w:t xml:space="preserve">Privacy reporting (PM-27)</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147"/>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201"/>
    <w:bookmarkStart w:id="202" w:name="risk-framing-pm-28"/>
    <w:p>
      <w:pPr>
        <w:pStyle w:val="Heading4"/>
      </w:pPr>
      <w:r>
        <w:t xml:space="preserve">Risk framing (PM-28)</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148"/>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148"/>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202"/>
    <w:bookmarkStart w:id="203" w:name="X5f82af3e72732422103a00e993f11a225c92bbb"/>
    <w:p>
      <w:pPr>
        <w:pStyle w:val="Heading4"/>
      </w:pPr>
      <w:r>
        <w:t xml:space="preserve">Risk management program leadership roles (PM-29)</w:t>
      </w:r>
    </w:p>
    <w:p>
      <w:pPr>
        <w:pStyle w:val="Compact"/>
        <w:numPr>
          <w:ilvl w:val="0"/>
          <w:numId w:val="1149"/>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149"/>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203"/>
    <w:bookmarkStart w:id="204" w:name="X9465905a517f3307e8626b041d923e84b16fe0b"/>
    <w:p>
      <w:pPr>
        <w:pStyle w:val="Heading4"/>
      </w:pPr>
      <w:r>
        <w:t xml:space="preserve">Supply chain risk management strategy (PM-30)</w:t>
      </w:r>
    </w:p>
    <w:p>
      <w:pPr>
        <w:pStyle w:val="Compact"/>
        <w:numPr>
          <w:ilvl w:val="0"/>
          <w:numId w:val="1150"/>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150"/>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150"/>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204"/>
    <w:bookmarkStart w:id="205" w:name="Xc3761b85f792431edd5829831568fac0786d355"/>
    <w:p>
      <w:pPr>
        <w:pStyle w:val="Heading4"/>
      </w:pPr>
      <w:r>
        <w:t xml:space="preserve">Suppliers of critical or mission-essential items (PM-30(1))</w:t>
      </w:r>
    </w:p>
    <w:p>
      <w:pPr>
        <w:pStyle w:val="Compact"/>
        <w:numPr>
          <w:ilvl w:val="0"/>
          <w:numId w:val="1151"/>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151"/>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205"/>
    <w:bookmarkStart w:id="206" w:name="continuous-monitoring-strategy-pm-31"/>
    <w:p>
      <w:pPr>
        <w:pStyle w:val="Heading4"/>
      </w:pPr>
      <w:r>
        <w:t xml:space="preserve">Continuous monitoring strategy (PM-31)</w:t>
      </w:r>
    </w:p>
    <w:p>
      <w:pPr>
        <w:pStyle w:val="Compact"/>
        <w:numPr>
          <w:ilvl w:val="0"/>
          <w:numId w:val="1152"/>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152"/>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152"/>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152"/>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152"/>
        </w:numPr>
      </w:pPr>
      <w:r>
        <w:t xml:space="preserve">The programs shall monitor the organization-wide metrics on an ongoing basis, as the strategy sets out. (PM-31c)</w:t>
      </w:r>
    </w:p>
    <w:p>
      <w:pPr>
        <w:pStyle w:val="Compact"/>
        <w:numPr>
          <w:ilvl w:val="0"/>
          <w:numId w:val="1152"/>
        </w:numPr>
      </w:pPr>
      <w:r>
        <w:t xml:space="preserve">The programs shall correlate and analyze the information that control assessments and monitoring produce. (PM-31d)</w:t>
      </w:r>
    </w:p>
    <w:p>
      <w:pPr>
        <w:pStyle w:val="Compact"/>
        <w:numPr>
          <w:ilvl w:val="0"/>
          <w:numId w:val="1152"/>
        </w:numPr>
      </w:pPr>
      <w:r>
        <w:t xml:space="preserve">The programs shall take response actions to address the results of that analysis. (PM-31e)</w:t>
      </w:r>
    </w:p>
    <w:p>
      <w:pPr>
        <w:pStyle w:val="Compact"/>
        <w:numPr>
          <w:ilvl w:val="0"/>
          <w:numId w:val="1152"/>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152"/>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206"/>
    <w:bookmarkStart w:id="207" w:name="purposing-pm-32"/>
    <w:p>
      <w:pPr>
        <w:pStyle w:val="Heading4"/>
      </w:pPr>
      <w:r>
        <w:t xml:space="preserve">Purposing (PM-32)</w:t>
      </w:r>
    </w:p>
    <w:p>
      <w:pPr>
        <w:pStyle w:val="Compact"/>
        <w:numPr>
          <w:ilvl w:val="0"/>
          <w:numId w:val="1153"/>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207"/>
    <w:bookmarkEnd w:id="208"/>
    <w:bookmarkStart w:id="223" w:name="personnel-security-ps"/>
    <w:p>
      <w:pPr>
        <w:pStyle w:val="Heading3"/>
      </w:pPr>
      <w:r>
        <w:t xml:space="preserve">Personnel Security (PS)</w:t>
      </w:r>
    </w:p>
    <w:bookmarkStart w:id="213" w:name="position-risk-designation-ps-2"/>
    <w:p>
      <w:pPr>
        <w:pStyle w:val="Heading4"/>
      </w:pPr>
      <w:r>
        <w:t xml:space="preserve">Position risk designation (PS-2)</w:t>
      </w:r>
    </w:p>
    <w:p>
      <w:pPr>
        <w:pStyle w:val="Compact"/>
        <w:numPr>
          <w:ilvl w:val="0"/>
          <w:numId w:val="115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15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15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12" w:name="federal-systems-28"/>
    <w:p>
      <w:pPr>
        <w:pStyle w:val="Heading5"/>
      </w:pPr>
      <w:r>
        <w:t xml:space="preserve">Federal systems</w:t>
      </w:r>
    </w:p>
    <w:p>
      <w:pPr>
        <w:pStyle w:val="FirstParagraph"/>
      </w:pPr>
      <w:hyperlink r:id="rId20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1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1">
        <w:r>
          <w:rPr>
            <w:rStyle w:val="Hyperlink"/>
          </w:rPr>
          <w:t xml:space="preserve">Position Designation Tool</w:t>
        </w:r>
      </w:hyperlink>
      <w:r>
        <w:t xml:space="preserve"> </w:t>
      </w:r>
      <w:r>
        <w:t xml:space="preserve">for making these designations. Checked September 2026.</w:t>
      </w:r>
    </w:p>
    <w:p>
      <w:pPr>
        <w:pStyle w:val="Compact"/>
        <w:numPr>
          <w:ilvl w:val="0"/>
          <w:numId w:val="115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15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12"/>
    <w:bookmarkEnd w:id="213"/>
    <w:bookmarkStart w:id="215" w:name="personnel-screening-ps-3"/>
    <w:p>
      <w:pPr>
        <w:pStyle w:val="Heading4"/>
      </w:pPr>
      <w:r>
        <w:t xml:space="preserve">Personnel screening (PS-3)</w:t>
      </w:r>
    </w:p>
    <w:p>
      <w:pPr>
        <w:pStyle w:val="Compact"/>
        <w:numPr>
          <w:ilvl w:val="0"/>
          <w:numId w:val="115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15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14" w:name="federal-systems-29"/>
    <w:p>
      <w:pPr>
        <w:pStyle w:val="Heading5"/>
      </w:pPr>
      <w:r>
        <w:t xml:space="preserve">Federal systems</w:t>
      </w:r>
    </w:p>
    <w:p>
      <w:pPr>
        <w:pStyle w:val="FirstParagraph"/>
      </w:pPr>
      <w:hyperlink r:id="rId20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90">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15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14"/>
    <w:bookmarkEnd w:id="215"/>
    <w:bookmarkStart w:id="217" w:name="personnel-termination-ps-4"/>
    <w:p>
      <w:pPr>
        <w:pStyle w:val="Heading4"/>
      </w:pPr>
      <w:r>
        <w:t xml:space="preserve">Personnel termination (PS-4)</w:t>
      </w:r>
    </w:p>
    <w:p>
      <w:pPr>
        <w:pStyle w:val="Compact"/>
        <w:numPr>
          <w:ilvl w:val="0"/>
          <w:numId w:val="115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15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15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15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15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16" w:name="federal-systems-30"/>
    <w:p>
      <w:pPr>
        <w:pStyle w:val="Heading5"/>
      </w:pPr>
      <w:r>
        <w:t xml:space="preserve">Federal systems</w:t>
      </w:r>
    </w:p>
    <w:p>
      <w:pPr>
        <w:pStyle w:val="FirstParagraph"/>
      </w:pPr>
      <w:hyperlink r:id="rId90">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15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16"/>
    <w:bookmarkEnd w:id="217"/>
    <w:bookmarkStart w:id="218" w:name="personnel-transfer-ps-5"/>
    <w:p>
      <w:pPr>
        <w:pStyle w:val="Heading4"/>
      </w:pPr>
      <w:r>
        <w:t xml:space="preserve">Personnel transfer (PS-5)</w:t>
      </w:r>
    </w:p>
    <w:p>
      <w:pPr>
        <w:pStyle w:val="Compact"/>
        <w:numPr>
          <w:ilvl w:val="0"/>
          <w:numId w:val="1160"/>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160"/>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160"/>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16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218"/>
    <w:bookmarkStart w:id="219" w:name="access-agreements-ps-6"/>
    <w:p>
      <w:pPr>
        <w:pStyle w:val="Heading4"/>
      </w:pPr>
      <w:r>
        <w:t xml:space="preserve">Access agreements (PS-6)</w:t>
      </w:r>
    </w:p>
    <w:p>
      <w:pPr>
        <w:pStyle w:val="Compact"/>
        <w:numPr>
          <w:ilvl w:val="0"/>
          <w:numId w:val="1161"/>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161"/>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161"/>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161"/>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161"/>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219"/>
    <w:bookmarkStart w:id="220" w:name="external-personnel-security-ps-7"/>
    <w:p>
      <w:pPr>
        <w:pStyle w:val="Heading4"/>
      </w:pPr>
      <w:r>
        <w:t xml:space="preserve">External personnel security (PS-7)</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162"/>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220"/>
    <w:bookmarkStart w:id="221" w:name="personnel-sanctions-ps-8"/>
    <w:p>
      <w:pPr>
        <w:pStyle w:val="Heading4"/>
      </w:pPr>
      <w:r>
        <w:t xml:space="preserve">Personnel sanctions (PS-8)</w:t>
      </w:r>
    </w:p>
    <w:p>
      <w:pPr>
        <w:pStyle w:val="Compact"/>
        <w:numPr>
          <w:ilvl w:val="0"/>
          <w:numId w:val="1163"/>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163"/>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221"/>
    <w:bookmarkStart w:id="222" w:name="position-descriptions-ps-9"/>
    <w:p>
      <w:pPr>
        <w:pStyle w:val="Heading4"/>
      </w:pPr>
      <w:r>
        <w:t xml:space="preserve">Position descriptions (PS-9)</w:t>
      </w:r>
    </w:p>
    <w:p>
      <w:pPr>
        <w:pStyle w:val="Compact"/>
        <w:numPr>
          <w:ilvl w:val="0"/>
          <w:numId w:val="1164"/>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222"/>
    <w:bookmarkEnd w:id="223"/>
    <w:bookmarkStart w:id="239" w:name="risk-assessment-ra"/>
    <w:p>
      <w:pPr>
        <w:pStyle w:val="Heading3"/>
      </w:pPr>
      <w:r>
        <w:t xml:space="preserve">Risk Assessment (RA)</w:t>
      </w:r>
    </w:p>
    <w:bookmarkStart w:id="227" w:name="security-categorization-ra-2"/>
    <w:p>
      <w:pPr>
        <w:pStyle w:val="Heading4"/>
      </w:pPr>
      <w:r>
        <w:t xml:space="preserve">Security categorization (RA-2)</w:t>
      </w:r>
    </w:p>
    <w:p>
      <w:pPr>
        <w:pStyle w:val="Compact"/>
        <w:numPr>
          <w:ilvl w:val="0"/>
          <w:numId w:val="1165"/>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165"/>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165"/>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165"/>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26" w:name="federal-systems-31"/>
    <w:p>
      <w:pPr>
        <w:pStyle w:val="Heading5"/>
      </w:pPr>
      <w:r>
        <w:t xml:space="preserve">Federal systems</w:t>
      </w:r>
    </w:p>
    <w:p>
      <w:pPr>
        <w:pStyle w:val="FirstParagraph"/>
      </w:pPr>
      <w:r>
        <w:t xml:space="preserve">Federal systems categorize information and systems under</w:t>
      </w:r>
      <w:r>
        <w:t xml:space="preserve"> </w:t>
      </w:r>
      <w:hyperlink r:id="rId149">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24">
        <w:r>
          <w:rPr>
            <w:rStyle w:val="Hyperlink"/>
          </w:rPr>
          <w:t xml:space="preserve">NIST SP 800-60 Rev. 1</w:t>
        </w:r>
      </w:hyperlink>
      <w:r>
        <w:t xml:space="preserve"> </w:t>
      </w:r>
      <w:r>
        <w:t xml:space="preserve">(August 2008; Volume 2 lists the types). A</w:t>
      </w:r>
      <w:r>
        <w:t xml:space="preserve"> </w:t>
      </w:r>
      <w:hyperlink r:id="rId225">
        <w:r>
          <w:rPr>
            <w:rStyle w:val="Hyperlink"/>
          </w:rPr>
          <w:t xml:space="preserve">Rev. 2 initial working draft</w:t>
        </w:r>
      </w:hyperlink>
      <w:r>
        <w:t xml:space="preserve"> </w:t>
      </w:r>
      <w:r>
        <w:t xml:space="preserve">(January 2024) is not final, as of September 2026.</w:t>
      </w:r>
    </w:p>
    <w:p>
      <w:pPr>
        <w:pStyle w:val="Compact"/>
        <w:numPr>
          <w:ilvl w:val="0"/>
          <w:numId w:val="1166"/>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166"/>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26"/>
    <w:bookmarkEnd w:id="227"/>
    <w:bookmarkStart w:id="228" w:name="risk-assessment-ra-3"/>
    <w:p>
      <w:pPr>
        <w:pStyle w:val="Heading4"/>
      </w:pPr>
      <w:r>
        <w:t xml:space="preserve">Risk assessment (RA-3)</w:t>
      </w:r>
    </w:p>
    <w:p>
      <w:pPr>
        <w:pStyle w:val="Compact"/>
        <w:numPr>
          <w:ilvl w:val="0"/>
          <w:numId w:val="1167"/>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167"/>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167"/>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167"/>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167"/>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167"/>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167"/>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167"/>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28"/>
    <w:bookmarkStart w:id="229" w:name="supply-chain-risk-assessment-ra-31"/>
    <w:p>
      <w:pPr>
        <w:pStyle w:val="Heading4"/>
      </w:pPr>
      <w:r>
        <w:t xml:space="preserve">Supply chain risk assessment (RA-3(1))</w:t>
      </w:r>
    </w:p>
    <w:p>
      <w:pPr>
        <w:pStyle w:val="Compact"/>
        <w:numPr>
          <w:ilvl w:val="0"/>
          <w:numId w:val="1168"/>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168"/>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29"/>
    <w:bookmarkStart w:id="233" w:name="X31ac242ebdd864f1ae371123ffa1b593dcfd685"/>
    <w:p>
      <w:pPr>
        <w:pStyle w:val="Heading4"/>
      </w:pPr>
      <w:r>
        <w:t xml:space="preserve">Vulnerability monitoring and scanning (RA-5)</w:t>
      </w:r>
    </w:p>
    <w:p>
      <w:pPr>
        <w:pStyle w:val="Compact"/>
        <w:numPr>
          <w:ilvl w:val="0"/>
          <w:numId w:val="1169"/>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169"/>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169"/>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169"/>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169"/>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169"/>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169"/>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232" w:name="federal-systems-32"/>
    <w:p>
      <w:pPr>
        <w:pStyle w:val="Heading5"/>
      </w:pPr>
      <w:r>
        <w:t xml:space="preserve">Federal systems</w:t>
      </w:r>
    </w:p>
    <w:p>
      <w:pPr>
        <w:pStyle w:val="FirstParagraph"/>
      </w:pPr>
      <w:r>
        <w:t xml:space="preserve">CISA binding operational directives set minimums for federal civilian agencies (as of September 2026).</w:t>
      </w:r>
      <w:r>
        <w:t xml:space="preserve"> </w:t>
      </w:r>
      <w:hyperlink r:id="rId230">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231">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170"/>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170"/>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232"/>
    <w:bookmarkEnd w:id="233"/>
    <w:bookmarkStart w:id="234" w:name="Xfe0b4acf041bc64d1ef6c767f45e266c2b44842"/>
    <w:p>
      <w:pPr>
        <w:pStyle w:val="Heading4"/>
      </w:pPr>
      <w:r>
        <w:t xml:space="preserve">Update vulnerabilities to be scanned (RA-5(2))</w:t>
      </w:r>
    </w:p>
    <w:p>
      <w:pPr>
        <w:pStyle w:val="Compact"/>
        <w:numPr>
          <w:ilvl w:val="0"/>
          <w:numId w:val="1171"/>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234"/>
    <w:bookmarkStart w:id="237" w:name="public-disclosure-program-ra-511"/>
    <w:p>
      <w:pPr>
        <w:pStyle w:val="Heading4"/>
      </w:pPr>
      <w:r>
        <w:t xml:space="preserve">Public disclosure program (RA-5(11))</w:t>
      </w:r>
    </w:p>
    <w:p>
      <w:pPr>
        <w:pStyle w:val="Compact"/>
        <w:numPr>
          <w:ilvl w:val="0"/>
          <w:numId w:val="1172"/>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172"/>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172"/>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236" w:name="federal-systems-33"/>
    <w:p>
      <w:pPr>
        <w:pStyle w:val="Heading5"/>
      </w:pPr>
      <w:r>
        <w:t xml:space="preserve">Federal systems</w:t>
      </w:r>
    </w:p>
    <w:p>
      <w:pPr>
        <w:pStyle w:val="FirstParagraph"/>
      </w:pPr>
      <w:hyperlink r:id="rId235">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173"/>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236"/>
    <w:bookmarkEnd w:id="237"/>
    <w:bookmarkStart w:id="238" w:name="risk-response-ra-7"/>
    <w:p>
      <w:pPr>
        <w:pStyle w:val="Heading4"/>
      </w:pPr>
      <w:r>
        <w:t xml:space="preserve">Risk response (RA-7)</w:t>
      </w:r>
    </w:p>
    <w:p>
      <w:pPr>
        <w:pStyle w:val="Compact"/>
        <w:numPr>
          <w:ilvl w:val="0"/>
          <w:numId w:val="1174"/>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174"/>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174"/>
        </w:numPr>
      </w:pPr>
      <w:r>
        <w:t xml:space="preserve">A risk to an authorized system shall be accepted only by its authorizing official, after consulting the roles the risk management strategy names for that risk level. (RA-7)</w:t>
      </w:r>
    </w:p>
    <w:bookmarkEnd w:id="238"/>
    <w:bookmarkEnd w:id="239"/>
    <w:bookmarkStart w:id="259" w:name="system-and-services-acquisition-sa"/>
    <w:p>
      <w:pPr>
        <w:pStyle w:val="Heading3"/>
      </w:pPr>
      <w:r>
        <w:t xml:space="preserve">System and Services Acquisition (SA)</w:t>
      </w:r>
    </w:p>
    <w:bookmarkStart w:id="241" w:name="allocation-of-resources-sa-2"/>
    <w:p>
      <w:pPr>
        <w:pStyle w:val="Heading4"/>
      </w:pPr>
      <w:r>
        <w:t xml:space="preserve">Allocation of resources (SA-2)</w:t>
      </w:r>
    </w:p>
    <w:p>
      <w:pPr>
        <w:pStyle w:val="Compact"/>
        <w:numPr>
          <w:ilvl w:val="0"/>
          <w:numId w:val="1175"/>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175"/>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175"/>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17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40" w:name="federal-systems-34"/>
    <w:p>
      <w:pPr>
        <w:pStyle w:val="Heading5"/>
      </w:pPr>
      <w:r>
        <w:t xml:space="preserve">Federal systems</w:t>
      </w:r>
    </w:p>
    <w:p>
      <w:pPr>
        <w:pStyle w:val="FirstParagraph"/>
      </w:pPr>
      <w:hyperlink r:id="rId35">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176"/>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176"/>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40"/>
    <w:bookmarkEnd w:id="241"/>
    <w:bookmarkStart w:id="243" w:name="system-development-life-cycle-sa-3"/>
    <w:p>
      <w:pPr>
        <w:pStyle w:val="Heading4"/>
      </w:pPr>
      <w:r>
        <w:t xml:space="preserve">System development life cycle (SA-3)</w:t>
      </w:r>
    </w:p>
    <w:p>
      <w:pPr>
        <w:pStyle w:val="Compact"/>
        <w:numPr>
          <w:ilvl w:val="0"/>
          <w:numId w:val="1177"/>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17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177"/>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177"/>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42" w:name="federal-systems-35"/>
    <w:p>
      <w:pPr>
        <w:pStyle w:val="Heading5"/>
      </w:pPr>
      <w:r>
        <w:t xml:space="preserve">Federal systems</w:t>
      </w:r>
    </w:p>
    <w:p>
      <w:pPr>
        <w:pStyle w:val="FirstParagraph"/>
      </w:pPr>
      <w:hyperlink r:id="rId35">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178"/>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42"/>
    <w:bookmarkEnd w:id="243"/>
    <w:bookmarkStart w:id="246" w:name="acquisition-process-sa-4"/>
    <w:p>
      <w:pPr>
        <w:pStyle w:val="Heading4"/>
      </w:pPr>
      <w:r>
        <w:t xml:space="preserve">Acquisition process (SA-4)</w:t>
      </w:r>
    </w:p>
    <w:p>
      <w:pPr>
        <w:pStyle w:val="Compact"/>
        <w:numPr>
          <w:ilvl w:val="0"/>
          <w:numId w:val="1179"/>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179"/>
        </w:numPr>
      </w:pPr>
      <w:r>
        <w:t xml:space="preserve">The contract shall state the security and privacy functional requirements. (SA-4a)</w:t>
      </w:r>
    </w:p>
    <w:p>
      <w:pPr>
        <w:pStyle w:val="Compact"/>
        <w:numPr>
          <w:ilvl w:val="0"/>
          <w:numId w:val="1179"/>
        </w:numPr>
      </w:pPr>
      <w:r>
        <w:t xml:space="preserve">The contract shall state the strength of mechanism requirements, such as resistance to tampering, bypass and direct attack. (SA-4b)</w:t>
      </w:r>
    </w:p>
    <w:p>
      <w:pPr>
        <w:pStyle w:val="Compact"/>
        <w:numPr>
          <w:ilvl w:val="0"/>
          <w:numId w:val="1179"/>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179"/>
        </w:numPr>
      </w:pPr>
      <w:r>
        <w:t xml:space="preserve">The contract shall state the controls needed to satisfy the security and privacy requirements, with any control parameter values the supplier must meet. (SA-4d)</w:t>
      </w:r>
    </w:p>
    <w:p>
      <w:pPr>
        <w:pStyle w:val="Compact"/>
        <w:numPr>
          <w:ilvl w:val="0"/>
          <w:numId w:val="1179"/>
        </w:numPr>
      </w:pPr>
      <w:r>
        <w:t xml:space="preserve">The contract shall state the security and privacy documentation requirements (SA-5). (SA-4e)</w:t>
      </w:r>
    </w:p>
    <w:p>
      <w:pPr>
        <w:pStyle w:val="Compact"/>
        <w:numPr>
          <w:ilvl w:val="0"/>
          <w:numId w:val="1179"/>
        </w:numPr>
      </w:pPr>
      <w:r>
        <w:t xml:space="preserve">The contract shall state the requirements for protecting security and privacy documentation. (SA-4f)</w:t>
      </w:r>
    </w:p>
    <w:p>
      <w:pPr>
        <w:pStyle w:val="Compact"/>
        <w:numPr>
          <w:ilvl w:val="0"/>
          <w:numId w:val="1179"/>
        </w:numPr>
      </w:pPr>
      <w:r>
        <w:t xml:space="preserve">The contract shall describe the system development environment and the environment in which the system is intended to operate. (SA-4g)</w:t>
      </w:r>
    </w:p>
    <w:p>
      <w:pPr>
        <w:pStyle w:val="Compact"/>
        <w:numPr>
          <w:ilvl w:val="0"/>
          <w:numId w:val="1179"/>
        </w:numPr>
      </w:pPr>
      <w:r>
        <w:t xml:space="preserve">The contract shall allocate responsibility for, or identify the parties responsible for, information security, privacy and supply chain risk management. (SA-4h)</w:t>
      </w:r>
    </w:p>
    <w:p>
      <w:pPr>
        <w:pStyle w:val="Compact"/>
        <w:numPr>
          <w:ilvl w:val="0"/>
          <w:numId w:val="1179"/>
        </w:numPr>
      </w:pPr>
      <w:r>
        <w:t xml:space="preserve">The contract shall state the acceptance criteria for the system, component or service. (SA-4i)</w:t>
      </w:r>
    </w:p>
    <w:p>
      <w:pPr>
        <w:pStyle w:val="Compact"/>
        <w:numPr>
          <w:ilvl w:val="0"/>
          <w:numId w:val="1179"/>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245" w:name="federal-systems-36"/>
    <w:p>
      <w:pPr>
        <w:pStyle w:val="Heading5"/>
      </w:pPr>
      <w:r>
        <w:t xml:space="preserve">Federal systems</w:t>
      </w:r>
    </w:p>
    <w:p>
      <w:pPr>
        <w:pStyle w:val="FirstParagraph"/>
      </w:pPr>
      <w:hyperlink r:id="rId35">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44">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180"/>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180"/>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45"/>
    <w:bookmarkEnd w:id="246"/>
    <w:bookmarkStart w:id="249" w:name="use-of-approved-piv-products-sa-410"/>
    <w:p>
      <w:pPr>
        <w:pStyle w:val="Heading4"/>
      </w:pPr>
      <w:r>
        <w:t xml:space="preserve">Use of approved PIV products (SA-4(10))</w:t>
      </w:r>
    </w:p>
    <w:p>
      <w:pPr>
        <w:pStyle w:val="Compact"/>
        <w:numPr>
          <w:ilvl w:val="0"/>
          <w:numId w:val="1181"/>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181"/>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248" w:name="federal-systems-37"/>
    <w:p>
      <w:pPr>
        <w:pStyle w:val="Heading5"/>
      </w:pPr>
      <w:r>
        <w:t xml:space="preserve">Federal systems</w:t>
      </w:r>
    </w:p>
    <w:p>
      <w:pPr>
        <w:pStyle w:val="FirstParagraph"/>
      </w:pPr>
      <w:hyperlink r:id="rId90">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247">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182"/>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248"/>
    <w:bookmarkEnd w:id="249"/>
    <w:bookmarkStart w:id="251" w:name="system-documentation-sa-5"/>
    <w:p>
      <w:pPr>
        <w:pStyle w:val="Heading4"/>
      </w:pPr>
      <w:r>
        <w:t xml:space="preserve">System documentation (SA-5)</w:t>
      </w:r>
    </w:p>
    <w:p>
      <w:pPr>
        <w:pStyle w:val="Compact"/>
        <w:numPr>
          <w:ilvl w:val="0"/>
          <w:numId w:val="1183"/>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183"/>
        </w:numPr>
      </w:pPr>
      <w:r>
        <w:t xml:space="preserve">The administrator documentation shall describe the effective use and maintenance of the security and privacy functions and mechanisms. (SA-5a.2)</w:t>
      </w:r>
    </w:p>
    <w:p>
      <w:pPr>
        <w:pStyle w:val="Compact"/>
        <w:numPr>
          <w:ilvl w:val="0"/>
          <w:numId w:val="1183"/>
        </w:numPr>
      </w:pPr>
      <w:r>
        <w:t xml:space="preserve">The administrator documentation shall describe known vulnerabilities regarding the configuration and use of administrative or privileged functions. (SA-5a.3)</w:t>
      </w:r>
    </w:p>
    <w:p>
      <w:pPr>
        <w:pStyle w:val="Compact"/>
        <w:numPr>
          <w:ilvl w:val="0"/>
          <w:numId w:val="1183"/>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183"/>
        </w:numPr>
      </w:pPr>
      <w:r>
        <w:t xml:space="preserve">The user documentation shall describe methods of user interaction that let individuals use the system, component or service more securely and protect individual privacy. (SA-5b.2)</w:t>
      </w:r>
    </w:p>
    <w:p>
      <w:pPr>
        <w:pStyle w:val="Compact"/>
        <w:numPr>
          <w:ilvl w:val="0"/>
          <w:numId w:val="1183"/>
        </w:numPr>
      </w:pPr>
      <w:r>
        <w:t xml:space="preserve">The user documentation shall describe users’ responsibilities for maintaining the security of the system, component or service and the privacy of individuals. (SA-5b.3)</w:t>
      </w:r>
    </w:p>
    <w:p>
      <w:pPr>
        <w:pStyle w:val="Compact"/>
        <w:numPr>
          <w:ilvl w:val="0"/>
          <w:numId w:val="1183"/>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183"/>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183"/>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250" w:name="federal-systems-38"/>
    <w:p>
      <w:pPr>
        <w:pStyle w:val="Heading5"/>
      </w:pPr>
      <w:r>
        <w:t xml:space="preserve">Federal systems</w:t>
      </w:r>
    </w:p>
    <w:p>
      <w:pPr>
        <w:pStyle w:val="FirstParagraph"/>
      </w:pPr>
      <w:hyperlink r:id="rId35">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184"/>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250"/>
    <w:bookmarkEnd w:id="251"/>
    <w:bookmarkStart w:id="252" w:name="X8083db2fed54f34e7396f7a6baa5c8a26be9932"/>
    <w:p>
      <w:pPr>
        <w:pStyle w:val="Heading4"/>
      </w:pPr>
      <w:r>
        <w:t xml:space="preserve">Security and privacy engineering principles (SA-8)</w:t>
      </w:r>
    </w:p>
    <w:p>
      <w:pPr>
        <w:pStyle w:val="Compact"/>
        <w:numPr>
          <w:ilvl w:val="0"/>
          <w:numId w:val="1185"/>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185"/>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185"/>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252"/>
    <w:bookmarkStart w:id="255" w:name="external-system-services-sa-9"/>
    <w:p>
      <w:pPr>
        <w:pStyle w:val="Heading4"/>
      </w:pPr>
      <w:r>
        <w:t xml:space="preserve">External system services (SA-9)</w:t>
      </w:r>
    </w:p>
    <w:p>
      <w:pPr>
        <w:pStyle w:val="Compact"/>
        <w:numPr>
          <w:ilvl w:val="0"/>
          <w:numId w:val="1186"/>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186"/>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186"/>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186"/>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186"/>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254" w:name="federal-systems-39"/>
    <w:p>
      <w:pPr>
        <w:pStyle w:val="Heading5"/>
      </w:pPr>
      <w:r>
        <w:t xml:space="preserve">Federal systems</w:t>
      </w:r>
    </w:p>
    <w:p>
      <w:pPr>
        <w:pStyle w:val="FirstParagraph"/>
      </w:pPr>
      <w:hyperlink r:id="rId35">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253">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187"/>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187"/>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254"/>
    <w:bookmarkEnd w:id="255"/>
    <w:bookmarkStart w:id="258" w:name="unsupported-system-components-sa-22"/>
    <w:p>
      <w:pPr>
        <w:pStyle w:val="Heading4"/>
      </w:pPr>
      <w:r>
        <w:t xml:space="preserve">Unsupported system components (SA-22)</w:t>
      </w:r>
    </w:p>
    <w:p>
      <w:pPr>
        <w:pStyle w:val="Compact"/>
        <w:numPr>
          <w:ilvl w:val="0"/>
          <w:numId w:val="1188"/>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188"/>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188"/>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188"/>
        </w:numPr>
      </w:pPr>
      <w:r>
        <w:t xml:space="preserve">The authorizing official shall approve each continued use of an unsupported component, for a set period, with the compensating measures recorded and the replacement tracked in the plan of action and milestones. (SA-22b)</w:t>
      </w:r>
    </w:p>
    <w:bookmarkStart w:id="257" w:name="federal-systems-40"/>
    <w:p>
      <w:pPr>
        <w:pStyle w:val="Heading5"/>
      </w:pPr>
      <w:r>
        <w:t xml:space="preserve">Federal systems</w:t>
      </w:r>
    </w:p>
    <w:p>
      <w:pPr>
        <w:pStyle w:val="FirstParagraph"/>
      </w:pPr>
      <w:hyperlink r:id="rId35">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256">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189"/>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189"/>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189"/>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257"/>
    <w:bookmarkEnd w:id="258"/>
    <w:bookmarkEnd w:id="259"/>
    <w:bookmarkStart w:id="274" w:name="system-and-communications-protection-sc"/>
    <w:p>
      <w:pPr>
        <w:pStyle w:val="Heading3"/>
      </w:pPr>
      <w:r>
        <w:t xml:space="preserve">System and Communications Protection (SC)</w:t>
      </w:r>
    </w:p>
    <w:bookmarkStart w:id="260" w:name="denial-of-service-protection-sc-5"/>
    <w:p>
      <w:pPr>
        <w:pStyle w:val="Heading4"/>
      </w:pPr>
      <w:r>
        <w:t xml:space="preserve">Denial-of-service protection (SC-5)</w:t>
      </w:r>
    </w:p>
    <w:p>
      <w:pPr>
        <w:pStyle w:val="Compact"/>
        <w:numPr>
          <w:ilvl w:val="0"/>
          <w:numId w:val="1190"/>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190"/>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260"/>
    <w:bookmarkStart w:id="263" w:name="boundary-protection-sc-7"/>
    <w:p>
      <w:pPr>
        <w:pStyle w:val="Heading4"/>
      </w:pPr>
      <w:r>
        <w:t xml:space="preserve">Boundary protection (SC-7)</w:t>
      </w:r>
    </w:p>
    <w:p>
      <w:pPr>
        <w:pStyle w:val="Compact"/>
        <w:numPr>
          <w:ilvl w:val="0"/>
          <w:numId w:val="1191"/>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191"/>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191"/>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62" w:name="federal-systems-41"/>
    <w:p>
      <w:pPr>
        <w:pStyle w:val="Heading5"/>
      </w:pPr>
      <w:r>
        <w:t xml:space="preserve">Federal systems</w:t>
      </w:r>
    </w:p>
    <w:p>
      <w:pPr>
        <w:pStyle w:val="FirstParagraph"/>
      </w:pPr>
      <w:r>
        <w:t xml:space="preserve">Federal civilian agencies secure their network connections under CISA’s</w:t>
      </w:r>
      <w:r>
        <w:t xml:space="preserve"> </w:t>
      </w:r>
      <w:hyperlink r:id="rId261">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192"/>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62"/>
    <w:bookmarkEnd w:id="263"/>
    <w:bookmarkStart w:id="264" w:name="X2b8de20cf98ecb7b6fd679b1bacec144cb5a261"/>
    <w:p>
      <w:pPr>
        <w:pStyle w:val="Heading4"/>
      </w:pPr>
      <w:r>
        <w:t xml:space="preserve">Cryptographic key establishment and management (SC-12)</w:t>
      </w:r>
    </w:p>
    <w:p>
      <w:pPr>
        <w:pStyle w:val="Compact"/>
        <w:numPr>
          <w:ilvl w:val="0"/>
          <w:numId w:val="1193"/>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264"/>
    <w:bookmarkStart w:id="268" w:name="cryptographic-protection-sc-13"/>
    <w:p>
      <w:pPr>
        <w:pStyle w:val="Heading4"/>
      </w:pPr>
      <w:r>
        <w:t xml:space="preserve">Cryptographic protection (SC-13)</w:t>
      </w:r>
    </w:p>
    <w:p>
      <w:pPr>
        <w:pStyle w:val="Compact"/>
        <w:numPr>
          <w:ilvl w:val="0"/>
          <w:numId w:val="1194"/>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194"/>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267" w:name="federal-systems-42"/>
    <w:p>
      <w:pPr>
        <w:pStyle w:val="Heading5"/>
      </w:pPr>
      <w:r>
        <w:t xml:space="preserve">Federal systems</w:t>
      </w:r>
    </w:p>
    <w:p>
      <w:pPr>
        <w:pStyle w:val="FirstParagraph"/>
      </w:pPr>
      <w:hyperlink r:id="rId265">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266">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195"/>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195"/>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267"/>
    <w:bookmarkEnd w:id="268"/>
    <w:bookmarkStart w:id="269" w:name="Xe590191d5b1c5956d67609fe9f2e395167b0d2c"/>
    <w:p>
      <w:pPr>
        <w:pStyle w:val="Heading4"/>
      </w:pPr>
      <w:r>
        <w:t xml:space="preserve">Collaborative computing devices and applications (SC-15)</w:t>
      </w:r>
    </w:p>
    <w:p>
      <w:pPr>
        <w:pStyle w:val="Compact"/>
        <w:numPr>
          <w:ilvl w:val="0"/>
          <w:numId w:val="1196"/>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196"/>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269"/>
    <w:bookmarkStart w:id="270" w:name="Xec9f8f0a54c66ad00a08fd17b585f4bee8db425"/>
    <w:p>
      <w:pPr>
        <w:pStyle w:val="Heading4"/>
      </w:pPr>
      <w:r>
        <w:t xml:space="preserve">Secure name and address resolution service (authoritative source) (SC-20)</w:t>
      </w:r>
    </w:p>
    <w:p>
      <w:pPr>
        <w:pStyle w:val="Compact"/>
        <w:numPr>
          <w:ilvl w:val="0"/>
          <w:numId w:val="1197"/>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197"/>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270"/>
    <w:bookmarkStart w:id="271" w:name="Xe84076ca1f0e05d26c8a8e450cbb5e99e994738"/>
    <w:p>
      <w:pPr>
        <w:pStyle w:val="Heading4"/>
      </w:pPr>
      <w:r>
        <w:t xml:space="preserve">Secure name and address resolution service (recursive or caching resolver) (SC-21)</w:t>
      </w:r>
    </w:p>
    <w:p>
      <w:pPr>
        <w:pStyle w:val="Compact"/>
        <w:numPr>
          <w:ilvl w:val="0"/>
          <w:numId w:val="1198"/>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271"/>
    <w:bookmarkStart w:id="272" w:name="X8f12cca0f3cf7ed29cfff633cf8e2267823ae23"/>
    <w:p>
      <w:pPr>
        <w:pStyle w:val="Heading4"/>
      </w:pPr>
      <w:r>
        <w:t xml:space="preserve">Architecture and provisioning for name and address resolution service (SC-22)</w:t>
      </w:r>
    </w:p>
    <w:p>
      <w:pPr>
        <w:pStyle w:val="Compact"/>
        <w:numPr>
          <w:ilvl w:val="0"/>
          <w:numId w:val="1199"/>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272"/>
    <w:bookmarkStart w:id="273" w:name="process-isolation-sc-39"/>
    <w:p>
      <w:pPr>
        <w:pStyle w:val="Heading4"/>
      </w:pPr>
      <w:r>
        <w:t xml:space="preserve">Process isolation (SC-39)</w:t>
      </w:r>
    </w:p>
    <w:p>
      <w:pPr>
        <w:pStyle w:val="Compact"/>
        <w:numPr>
          <w:ilvl w:val="0"/>
          <w:numId w:val="1200"/>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273"/>
    <w:bookmarkEnd w:id="274"/>
    <w:bookmarkStart w:id="289" w:name="system-and-information-integrity-si"/>
    <w:p>
      <w:pPr>
        <w:pStyle w:val="Heading3"/>
      </w:pPr>
      <w:r>
        <w:t xml:space="preserve">System and Information Integrity (SI)</w:t>
      </w:r>
    </w:p>
    <w:bookmarkStart w:id="276" w:name="flaw-remediation-si-2"/>
    <w:p>
      <w:pPr>
        <w:pStyle w:val="Heading4"/>
      </w:pPr>
      <w:r>
        <w:t xml:space="preserve">Flaw remediation (SI-2)</w:t>
      </w:r>
    </w:p>
    <w:p>
      <w:pPr>
        <w:pStyle w:val="Compact"/>
        <w:numPr>
          <w:ilvl w:val="0"/>
          <w:numId w:val="1201"/>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201"/>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201"/>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201"/>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201"/>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201"/>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201"/>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bookmarkStart w:id="275" w:name="federal-systems-43"/>
    <w:p>
      <w:pPr>
        <w:pStyle w:val="Heading5"/>
      </w:pPr>
      <w:r>
        <w:t xml:space="preserve">Federal systems</w:t>
      </w:r>
    </w:p>
    <w:p>
      <w:pPr>
        <w:pStyle w:val="FirstParagraph"/>
      </w:pPr>
      <w:r>
        <w:t xml:space="preserve">CISA</w:t>
      </w:r>
      <w:r>
        <w:t xml:space="preserve"> </w:t>
      </w:r>
      <w:hyperlink r:id="rId230">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202"/>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75"/>
    <w:bookmarkEnd w:id="276"/>
    <w:bookmarkStart w:id="277" w:name="malicious-code-protection-si-3"/>
    <w:p>
      <w:pPr>
        <w:pStyle w:val="Heading4"/>
      </w:pPr>
      <w:r>
        <w:t xml:space="preserve">Malicious code protection (SI-3)</w:t>
      </w:r>
    </w:p>
    <w:p>
      <w:pPr>
        <w:pStyle w:val="Compact"/>
        <w:numPr>
          <w:ilvl w:val="0"/>
          <w:numId w:val="1203"/>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203"/>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203"/>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203"/>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203"/>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203"/>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77"/>
    <w:bookmarkStart w:id="280" w:name="system-monitoring-si-4"/>
    <w:p>
      <w:pPr>
        <w:pStyle w:val="Heading4"/>
      </w:pPr>
      <w:r>
        <w:t xml:space="preserve">System monitoring (SI-4)</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204"/>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204"/>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204"/>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204"/>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204"/>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279" w:name="federal-systems-44"/>
    <w:p>
      <w:pPr>
        <w:pStyle w:val="Heading5"/>
      </w:pPr>
      <w:r>
        <w:t xml:space="preserve">Federal systems</w:t>
      </w:r>
    </w:p>
    <w:p>
      <w:pPr>
        <w:pStyle w:val="FirstParagraph"/>
      </w:pPr>
      <w:hyperlink r:id="rId52">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78">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205"/>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205"/>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205"/>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79"/>
    <w:bookmarkEnd w:id="280"/>
    <w:bookmarkStart w:id="283" w:name="X422471707f2a2f35375441b905309c1357cbe46"/>
    <w:p>
      <w:pPr>
        <w:pStyle w:val="Heading4"/>
      </w:pPr>
      <w:r>
        <w:t xml:space="preserve">Security alerts, advisories and directives (SI-5)</w:t>
      </w:r>
    </w:p>
    <w:p>
      <w:pPr>
        <w:pStyle w:val="Compact"/>
        <w:numPr>
          <w:ilvl w:val="0"/>
          <w:numId w:val="1206"/>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206"/>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206"/>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206"/>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282" w:name="federal-systems-45"/>
    <w:p>
      <w:pPr>
        <w:pStyle w:val="Heading5"/>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34">
        <w:r>
          <w:rPr>
            <w:rStyle w:val="Hyperlink"/>
          </w:rPr>
          <w:t xml:space="preserve">44 U.S.C. § 3554(a)(1)(B)(ii) and (v)</w:t>
        </w:r>
      </w:hyperlink>
      <w:r>
        <w:t xml:space="preserve">). CISA publishes them on its</w:t>
      </w:r>
      <w:r>
        <w:t xml:space="preserve"> </w:t>
      </w:r>
      <w:hyperlink r:id="rId281">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207"/>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282"/>
    <w:bookmarkEnd w:id="283"/>
    <w:bookmarkStart w:id="288" w:name="Xff109d2c993c4421f257522c86596c85b62962b"/>
    <w:p>
      <w:pPr>
        <w:pStyle w:val="Heading4"/>
      </w:pPr>
      <w:r>
        <w:t xml:space="preserve">Information management and retention (SI-12)</w:t>
      </w:r>
    </w:p>
    <w:p>
      <w:pPr>
        <w:pStyle w:val="Compact"/>
        <w:numPr>
          <w:ilvl w:val="0"/>
          <w:numId w:val="1208"/>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208"/>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208"/>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287" w:name="federal-systems-46"/>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284">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285">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286">
        <w:r>
          <w:rPr>
            <w:rStyle w:val="Hyperlink"/>
          </w:rPr>
          <w:t xml:space="preserve">44 U.S.C. § 3303a(d)</w:t>
        </w:r>
      </w:hyperlink>
      <w:r>
        <w:t xml:space="preserve">). As of September 2026.</w:t>
      </w:r>
    </w:p>
    <w:p>
      <w:pPr>
        <w:pStyle w:val="Compact"/>
        <w:numPr>
          <w:ilvl w:val="0"/>
          <w:numId w:val="1209"/>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287"/>
    <w:bookmarkEnd w:id="288"/>
    <w:bookmarkEnd w:id="289"/>
    <w:bookmarkStart w:id="308" w:name="supply-chain-risk-management-sr"/>
    <w:p>
      <w:pPr>
        <w:pStyle w:val="Heading3"/>
      </w:pPr>
      <w:r>
        <w:t xml:space="preserve">Supply Chain Risk Management (SR)</w:t>
      </w:r>
    </w:p>
    <w:bookmarkStart w:id="293" w:name="supply-chain-risk-management-plan-sr-2"/>
    <w:p>
      <w:pPr>
        <w:pStyle w:val="Heading4"/>
      </w:pPr>
      <w:r>
        <w:t xml:space="preserve">Supply chain risk management plan (SR-2)</w:t>
      </w:r>
    </w:p>
    <w:p>
      <w:pPr>
        <w:pStyle w:val="Compact"/>
        <w:numPr>
          <w:ilvl w:val="0"/>
          <w:numId w:val="1210"/>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210"/>
        </w:numPr>
      </w:pPr>
      <w:r>
        <w:t xml:space="preserve">The plan shall be a stand-alone document or a clearly identifiable section of the system security plan. (SR-2a)</w:t>
      </w:r>
    </w:p>
    <w:p>
      <w:pPr>
        <w:pStyle w:val="Compact"/>
        <w:numPr>
          <w:ilvl w:val="0"/>
          <w:numId w:val="1210"/>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210"/>
        </w:numPr>
      </w:pPr>
      <w:r>
        <w:t xml:space="preserve">The plan shall list the system’s critical components and services and their suppliers, drawing on the criticality analysis (RA-9) and the component inventory (CM-8). (SR-2a)</w:t>
      </w:r>
    </w:p>
    <w:p>
      <w:pPr>
        <w:pStyle w:val="Compact"/>
        <w:numPr>
          <w:ilvl w:val="0"/>
          <w:numId w:val="1210"/>
        </w:numPr>
      </w:pPr>
      <w:r>
        <w:t xml:space="preserve">The authorizing official shall approve the plan and each significant change to it. (SR-2a)</w:t>
      </w:r>
    </w:p>
    <w:p>
      <w:pPr>
        <w:pStyle w:val="Compact"/>
        <w:numPr>
          <w:ilvl w:val="0"/>
          <w:numId w:val="1210"/>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210"/>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bookmarkStart w:id="292" w:name="federal-systems-47"/>
    <w:p>
      <w:pPr>
        <w:pStyle w:val="Heading5"/>
      </w:pPr>
      <w:r>
        <w:t xml:space="preserve">Federal systems</w:t>
      </w:r>
    </w:p>
    <w:p>
      <w:pPr>
        <w:pStyle w:val="FirstParagraph"/>
      </w:pPr>
      <w:hyperlink r:id="rId35">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90">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91">
        <w:r>
          <w:rPr>
            <w:rStyle w:val="Hyperlink"/>
          </w:rPr>
          <w:t xml:space="preserve">41 U.S.C. § 1328</w:t>
        </w:r>
      </w:hyperlink>
      <w:r>
        <w:t xml:space="preserve">). Text checked in the United States Code, 2024 edition, as of October 2026.</w:t>
      </w:r>
    </w:p>
    <w:p>
      <w:pPr>
        <w:pStyle w:val="Compact"/>
        <w:numPr>
          <w:ilvl w:val="0"/>
          <w:numId w:val="1211"/>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92"/>
    <w:bookmarkEnd w:id="293"/>
    <w:bookmarkStart w:id="294" w:name="establish-scrm-team-sr-21"/>
    <w:p>
      <w:pPr>
        <w:pStyle w:val="Heading4"/>
      </w:pPr>
      <w:r>
        <w:t xml:space="preserve">Establish SCRM team (SR-2(1))</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212"/>
        </w:numPr>
      </w:pPr>
      <w:r>
        <w:t xml:space="preserve">The team shall meet at least quarterly, and whenever an acquisition or a supplier notification needs its review, and shall record its decisions. (SR-2(1))</w:t>
      </w:r>
    </w:p>
    <w:bookmarkEnd w:id="294"/>
    <w:bookmarkStart w:id="296" w:name="supply-chain-controls-and-processes-sr-3"/>
    <w:p>
      <w:pPr>
        <w:pStyle w:val="Heading4"/>
      </w:pPr>
      <w:r>
        <w:t xml:space="preserve">Supply chain controls and processes (SR-3)</w:t>
      </w:r>
    </w:p>
    <w:p>
      <w:pPr>
        <w:pStyle w:val="Compact"/>
        <w:numPr>
          <w:ilvl w:val="0"/>
          <w:numId w:val="1213"/>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213"/>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213"/>
        </w:numPr>
      </w:pPr>
      <w:r>
        <w:t xml:space="preserve">Each weakness or deficiency found shall be recorded in the risk register or the plan of action and milestones, with an owner, a response and a due date. (SR-3a)</w:t>
      </w:r>
    </w:p>
    <w:p>
      <w:pPr>
        <w:pStyle w:val="Compact"/>
        <w:numPr>
          <w:ilvl w:val="0"/>
          <w:numId w:val="1213"/>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213"/>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95" w:name="federal-systems-48"/>
    <w:p>
      <w:pPr>
        <w:pStyle w:val="Heading5"/>
      </w:pPr>
      <w:r>
        <w:t xml:space="preserve">Federal systems</w:t>
      </w:r>
    </w:p>
    <w:p>
      <w:pPr>
        <w:pStyle w:val="FirstParagraph"/>
      </w:pPr>
      <w:hyperlink r:id="rId35">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90">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214"/>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95"/>
    <w:bookmarkEnd w:id="296"/>
    <w:bookmarkStart w:id="300" w:name="X0e0dc855e1dd10b4eae943530f4a58da9a63d02"/>
    <w:p>
      <w:pPr>
        <w:pStyle w:val="Heading4"/>
      </w:pPr>
      <w:r>
        <w:t xml:space="preserve">Acquisition strategies, tools and methods (SR-5)</w:t>
      </w:r>
    </w:p>
    <w:p>
      <w:pPr>
        <w:pStyle w:val="Compact"/>
        <w:numPr>
          <w:ilvl w:val="0"/>
          <w:numId w:val="1215"/>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215"/>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215"/>
        </w:numPr>
      </w:pPr>
      <w:r>
        <w:t xml:space="preserve">The results of the system’s supply chain risk assessment (RA-3(1)) shall inform the strategies, tools and methods chosen for each such acquisition. (SR-5)</w:t>
      </w:r>
    </w:p>
    <w:bookmarkStart w:id="299" w:name="federal-systems-49"/>
    <w:p>
      <w:pPr>
        <w:pStyle w:val="Heading5"/>
      </w:pPr>
      <w:r>
        <w:t xml:space="preserve">Federal systems</w:t>
      </w:r>
    </w:p>
    <w:p>
      <w:pPr>
        <w:pStyle w:val="FirstParagraph"/>
      </w:pPr>
      <w:hyperlink r:id="rId35">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297">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298">
        <w:r>
          <w:rPr>
            <w:rStyle w:val="Hyperlink"/>
          </w:rPr>
          <w:t xml:space="preserve">41 CFR 201-1.304</w:t>
        </w:r>
      </w:hyperlink>
      <w:r>
        <w:t xml:space="preserve"> </w:t>
      </w:r>
      <w:r>
        <w:t xml:space="preserve">repeats the duty and sets out how an agency requests an exception.</w:t>
      </w:r>
      <w:r>
        <w:t xml:space="preserve"> </w:t>
      </w:r>
      <w:hyperlink r:id="rId244">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216"/>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216"/>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216"/>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299"/>
    <w:bookmarkEnd w:id="300"/>
    <w:bookmarkStart w:id="302" w:name="notification-agreements-sr-8"/>
    <w:p>
      <w:pPr>
        <w:pStyle w:val="Heading4"/>
      </w:pPr>
      <w:r>
        <w:t xml:space="preserve">Notification agreements (SR-8)</w:t>
      </w:r>
    </w:p>
    <w:p>
      <w:pPr>
        <w:pStyle w:val="Compact"/>
        <w:numPr>
          <w:ilvl w:val="0"/>
          <w:numId w:val="1217"/>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217"/>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217"/>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217"/>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217"/>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301">
        <w:r>
          <w:rPr>
            <w:rStyle w:val="Hyperlink"/>
          </w:rPr>
          <w:t xml:space="preserve">incident response plan</w:t>
        </w:r>
      </w:hyperlink>
      <w:r>
        <w:t xml:space="preserve">, with the supply chain risk management team identifying the affected systems and components. (SR-8)</w:t>
      </w:r>
    </w:p>
    <w:bookmarkEnd w:id="302"/>
    <w:bookmarkStart w:id="303" w:name="X3cb789ce30c60622bd1ccdb673fcca52c739b4f"/>
    <w:p>
      <w:pPr>
        <w:pStyle w:val="Heading4"/>
      </w:pPr>
      <w:r>
        <w:t xml:space="preserve">Inspection of systems or components (SR-10)</w:t>
      </w:r>
    </w:p>
    <w:p>
      <w:pPr>
        <w:pStyle w:val="Compact"/>
        <w:numPr>
          <w:ilvl w:val="0"/>
          <w:numId w:val="1218"/>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218"/>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218"/>
        </w:numPr>
      </w:pPr>
      <w:r>
        <w:t xml:space="preserve">Each inspection shall be recorded with the component, the date, who inspected it and the result. (SR-10)</w:t>
      </w:r>
    </w:p>
    <w:p>
      <w:pPr>
        <w:pStyle w:val="Compact"/>
        <w:numPr>
          <w:ilvl w:val="0"/>
          <w:numId w:val="1218"/>
        </w:numPr>
      </w:pPr>
      <w:r>
        <w:t xml:space="preserve">A component that shows signs of tampering shall be kept out of service and reported under the incident response plan (IR-6). (SR-10)</w:t>
      </w:r>
    </w:p>
    <w:p>
      <w:pPr>
        <w:pStyle w:val="Compact"/>
        <w:numPr>
          <w:ilvl w:val="0"/>
          <w:numId w:val="1218"/>
        </w:numPr>
      </w:pPr>
      <w:r>
        <w:t xml:space="preserve">Contracts with the suppliers, integrators and service providers of critical components shall require them to inspect those components for tampering, and to flow the requirement down to their subcontractors. (SR-10)</w:t>
      </w:r>
    </w:p>
    <w:bookmarkEnd w:id="303"/>
    <w:bookmarkStart w:id="304" w:name="component-authenticity-sr-11"/>
    <w:p>
      <w:pPr>
        <w:pStyle w:val="Heading4"/>
      </w:pPr>
      <w:r>
        <w:t xml:space="preserve">Component authenticity (SR-11)</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219"/>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219"/>
        </w:numPr>
      </w:pPr>
      <w:r>
        <w:t xml:space="preserve">Each component shall be checked on receipt against the order and the manufacturer’s identifiers, such as part and serial numbers, labels and packaging. (SR-11a)</w:t>
      </w:r>
    </w:p>
    <w:p>
      <w:pPr>
        <w:pStyle w:val="Compact"/>
        <w:numPr>
          <w:ilvl w:val="0"/>
          <w:numId w:val="1219"/>
        </w:numPr>
      </w:pPr>
      <w:r>
        <w:t xml:space="preserve">Software, firmware and updates shall be verified by digital signature or the manufacturer’s published hash before installation. (SR-11a)</w:t>
      </w:r>
    </w:p>
    <w:p>
      <w:pPr>
        <w:pStyle w:val="Compact"/>
        <w:numPr>
          <w:ilvl w:val="0"/>
          <w:numId w:val="1219"/>
        </w:numPr>
      </w:pPr>
      <w:r>
        <w:t xml:space="preserve">A suspected counterfeit component shall be quarantined and kept out of the system until the investigation is complete, and shall not be returned to the seller before then. (SR-11a)</w:t>
      </w:r>
    </w:p>
    <w:p>
      <w:pPr>
        <w:pStyle w:val="Compact"/>
        <w:numPr>
          <w:ilvl w:val="0"/>
          <w:numId w:val="1219"/>
        </w:numPr>
      </w:pPr>
      <w:r>
        <w:t xml:space="preserve">A counterfeit component found installed in a system shall be handled as an incident under the incident response plan. (SR-11a)</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304"/>
    <w:bookmarkStart w:id="305" w:name="anti-counterfeit-training-sr-111"/>
    <w:p>
      <w:pPr>
        <w:pStyle w:val="Heading4"/>
      </w:pPr>
      <w:r>
        <w:t xml:space="preserve">Anti-counterfeit training (SR-11(1))</w:t>
      </w:r>
    </w:p>
    <w:p>
      <w:pPr>
        <w:pStyle w:val="Compact"/>
        <w:numPr>
          <w:ilvl w:val="0"/>
          <w:numId w:val="1220"/>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220"/>
        </w:numPr>
      </w:pPr>
      <w:r>
        <w:t xml:space="preserve">The training shall be part of role-based training (AT-3), completed before the person takes on the duties and annually thereafter. (SR-11(1))</w:t>
      </w:r>
    </w:p>
    <w:p>
      <w:pPr>
        <w:pStyle w:val="Compact"/>
        <w:numPr>
          <w:ilvl w:val="0"/>
          <w:numId w:val="1220"/>
        </w:numPr>
      </w:pPr>
      <w:r>
        <w:t xml:space="preserve">The training shall cover the organization’s anti-counterfeit procedures, how to recognize counterfeit or altered hardware, packaging and software, and how to quarantine and report a suspect component. (SR-11(1))</w:t>
      </w:r>
    </w:p>
    <w:bookmarkEnd w:id="305"/>
    <w:bookmarkStart w:id="306" w:name="Xfd25bfe0082260f08b1c5227c111d60fc673069"/>
    <w:p>
      <w:pPr>
        <w:pStyle w:val="Heading4"/>
      </w:pPr>
      <w:r>
        <w:t xml:space="preserve">Configuration control for component service and repair (SR-11(2))</w:t>
      </w:r>
    </w:p>
    <w:p>
      <w:pPr>
        <w:pStyle w:val="Compact"/>
        <w:numPr>
          <w:ilvl w:val="0"/>
          <w:numId w:val="1221"/>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221"/>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221"/>
        </w:numPr>
      </w:pPr>
      <w:r>
        <w:t xml:space="preserve">A component sent off site shall be tracked by serial number from departure to return, with the maintenance log recording who had custody of it. (SR-11(2))</w:t>
      </w:r>
    </w:p>
    <w:p>
      <w:pPr>
        <w:pStyle w:val="Compact"/>
        <w:numPr>
          <w:ilvl w:val="0"/>
          <w:numId w:val="1221"/>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221"/>
        </w:numPr>
      </w:pPr>
      <w:r>
        <w:t xml:space="preserve">Contracts for component service and repair shall require genuine replacement parts from the original manufacturer or its authorized channel. (SR-11(2))</w:t>
      </w:r>
    </w:p>
    <w:bookmarkEnd w:id="306"/>
    <w:bookmarkStart w:id="307" w:name="component-disposal-sr-12"/>
    <w:p>
      <w:pPr>
        <w:pStyle w:val="Heading4"/>
      </w:pPr>
      <w:r>
        <w:t xml:space="preserve">Component disposal (SR-12)</w:t>
      </w:r>
    </w:p>
    <w:p>
      <w:pPr>
        <w:pStyle w:val="Compact"/>
        <w:numPr>
          <w:ilvl w:val="0"/>
          <w:numId w:val="1222"/>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222"/>
        </w:numPr>
      </w:pPr>
      <w:r>
        <w:t xml:space="preserve">These techniques and methods shall apply whenever disposal happens in the life cycle, including during development, testing and maintenance. (SR-12)</w:t>
      </w:r>
    </w:p>
    <w:p>
      <w:pPr>
        <w:pStyle w:val="Compact"/>
        <w:numPr>
          <w:ilvl w:val="0"/>
          <w:numId w:val="1222"/>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222"/>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307"/>
    <w:bookmarkEnd w:id="308"/>
    <w:bookmarkEnd w:id="309"/>
    <w:bookmarkStart w:id="311" w:name="review-and-update"/>
    <w:p>
      <w:pPr>
        <w:pStyle w:val="Heading2"/>
      </w:pPr>
      <w:r>
        <w:t xml:space="preserve">Review and update</w:t>
      </w:r>
    </w:p>
    <w:p>
      <w:pPr>
        <w:pStyle w:val="Compact"/>
        <w:numPr>
          <w:ilvl w:val="0"/>
          <w:numId w:val="122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22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310" w:name="federal-systems-50"/>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4">
        <w:r>
          <w:rPr>
            <w:rStyle w:val="Hyperlink"/>
          </w:rPr>
          <w:t xml:space="preserve">44 U.S.C. § 3554</w:t>
        </w:r>
      </w:hyperlink>
      <w:r>
        <w:t xml:space="preserve">, Federal agency responsibilities) and</w:t>
      </w:r>
      <w:r>
        <w:t xml:space="preserve"> </w:t>
      </w:r>
      <w:hyperlink r:id="rId35">
        <w:r>
          <w:rPr>
            <w:rStyle w:val="Hyperlink"/>
          </w:rPr>
          <w:t xml:space="preserve">OMB Circular A-130</w:t>
        </w:r>
      </w:hyperlink>
      <w:r>
        <w:t xml:space="preserve">, Appendix I, Responsibilities for Protecting and Managing Federal Information Resources.</w:t>
      </w:r>
    </w:p>
    <w:p>
      <w:pPr>
        <w:pStyle w:val="Compact"/>
        <w:numPr>
          <w:ilvl w:val="0"/>
          <w:numId w:val="1224"/>
        </w:numPr>
      </w:pPr>
      <w:r>
        <w:t xml:space="preserve">Where the agency’s organization-wide policy sets a value for a parameter in this policy, each system shall use that value or a stricter one. (XX-1a.1(b))</w:t>
      </w:r>
    </w:p>
    <w:bookmarkEnd w:id="310"/>
    <w:bookmarkEnd w:id="311"/>
    <w:bookmarkEnd w:id="31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66" Target="https://csrc.nist.gov/projects/fips-140-3-transition-effort" TargetMode="External" /><Relationship Type="http://schemas.openxmlformats.org/officeDocument/2006/relationships/hyperlink" Id="rId265" Target="https://csrc.nist.gov/pubs/fips/140-3/final" TargetMode="External" /><Relationship Type="http://schemas.openxmlformats.org/officeDocument/2006/relationships/hyperlink" Id="rId149" Target="https://csrc.nist.gov/pubs/fips/199/final" TargetMode="External" /><Relationship Type="http://schemas.openxmlformats.org/officeDocument/2006/relationships/hyperlink" Id="rId150" Target="https://csrc.nist.gov/pubs/fips/200/final" TargetMode="External" /><Relationship Type="http://schemas.openxmlformats.org/officeDocument/2006/relationships/hyperlink" Id="rId90" Target="https://csrc.nist.gov/pubs/fips/201-3/final" TargetMode="External" /><Relationship Type="http://schemas.openxmlformats.org/officeDocument/2006/relationships/hyperlink" Id="rId132" Target="https://csrc.nist.gov/pubs/sp/800/116/r1/final" TargetMode="External" /><Relationship Type="http://schemas.openxmlformats.org/officeDocument/2006/relationships/hyperlink" Id="rId181" Target="https://csrc.nist.gov/pubs/sp/800/171/r3/final" TargetMode="External" /><Relationship Type="http://schemas.openxmlformats.org/officeDocument/2006/relationships/hyperlink" Id="rId63" Target="https://csrc.nist.gov/pubs/sp/800/37/r2/final" TargetMode="External" /><Relationship Type="http://schemas.openxmlformats.org/officeDocument/2006/relationships/hyperlink" Id="rId225" Target="https://csrc.nist.gov/pubs/sp/800/60/r2/iwd" TargetMode="External" /><Relationship Type="http://schemas.openxmlformats.org/officeDocument/2006/relationships/hyperlink" Id="rId224" Target="https://csrc.nist.gov/pubs/sp/800/60/v1/r1/final" TargetMode="External" /><Relationship Type="http://schemas.openxmlformats.org/officeDocument/2006/relationships/hyperlink" Id="rId100" Target="https://csrc.nist.gov/pubs/sp/800/63/b/4/final" TargetMode="External" /><Relationship Type="http://schemas.openxmlformats.org/officeDocument/2006/relationships/hyperlink" Id="rId125" Target="https://csrc.nist.gov/pubs/sp/800/88/r2/final" TargetMode="External" /><Relationship Type="http://schemas.openxmlformats.org/officeDocument/2006/relationships/hyperlink" Id="rId23" Target="https://kston83.github.io/nist-guide/controls/ac/ac-8/" TargetMode="External" /><Relationship Type="http://schemas.openxmlformats.org/officeDocument/2006/relationships/hyperlink" Id="rId301" Target="https://kston83.github.io/nist-guide/templates/plans/incident-response-plan/"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284" Target="https://uscode.house.gov/view.xhtml?req=granuleid:USC-prelim-title44-section3101&amp;num=0&amp;edition=prelim" TargetMode="External" /><Relationship Type="http://schemas.openxmlformats.org/officeDocument/2006/relationships/hyperlink" Id="rId286" Target="https://uscode.house.gov/view.xhtml?req=granuleid:USC-prelim-title44-section3303a&amp;num=0&amp;edition=prelim" TargetMode="External" /><Relationship Type="http://schemas.openxmlformats.org/officeDocument/2006/relationships/hyperlink" Id="rId285" Target="https://uscode.house.gov/view.xhtml?req=granuleid:USC-prelim-title44-section3314&amp;num=0&amp;edition=prelim" TargetMode="External" /><Relationship Type="http://schemas.openxmlformats.org/officeDocument/2006/relationships/hyperlink" Id="rId161" Target="https://uscode.house.gov/view.xhtml?req=granuleid:USC-prelim-title44-section3505&amp;num=0&amp;edition=prelim" TargetMode="External" /><Relationship Type="http://schemas.openxmlformats.org/officeDocument/2006/relationships/hyperlink" Id="rId34" Target="https://uscode.house.gov/view.xhtml?req=granuleid:USC-prelim-title44-section3554&amp;num=0&amp;edition=prelim" TargetMode="External" /><Relationship Type="http://schemas.openxmlformats.org/officeDocument/2006/relationships/hyperlink" Id="rId192" Target="https://uscode.house.gov/view.xhtml?req=granuleid:USC-prelim-title5-section552a&amp;num=0&amp;edition=prelim" TargetMode="External" /><Relationship Type="http://schemas.openxmlformats.org/officeDocument/2006/relationships/hyperlink" Id="rId41" Target="https://www.archives.gov/files/records-mgmt/grs/grs02-6.pdf" TargetMode="External" /><Relationship Type="http://schemas.openxmlformats.org/officeDocument/2006/relationships/hyperlink" Id="rId137" Target="https://www.archives.gov/files/records-mgmt/grs/grs05-6.pdf" TargetMode="External" /><Relationship Type="http://schemas.openxmlformats.org/officeDocument/2006/relationships/hyperlink" Id="rId281" Target="https://www.cisa.gov/directives" TargetMode="External" /><Relationship Type="http://schemas.openxmlformats.org/officeDocument/2006/relationships/hyperlink" Id="rId108" Target="https://www.cisa.gov/federal-incident-notification-guidelines" TargetMode="External" /><Relationship Type="http://schemas.openxmlformats.org/officeDocument/2006/relationships/hyperlink" Id="rId118" Target="https://www.cisa.gov/news-events/directives/binding-operational-directive-23-02" TargetMode="External" /><Relationship Type="http://schemas.openxmlformats.org/officeDocument/2006/relationships/hyperlink" Id="rId235" Target="https://www.cisa.gov/news-events/directives/bod-20-01-develop-and-publish-vulnerability-disclosure-policy" TargetMode="External" /><Relationship Type="http://schemas.openxmlformats.org/officeDocument/2006/relationships/hyperlink" Id="rId231" Target="https://www.cisa.gov/news-events/directives/bod-23-01-improving-asset-visibility-and-vulnerability-detection-federal-networks" TargetMode="External" /><Relationship Type="http://schemas.openxmlformats.org/officeDocument/2006/relationships/hyperlink" Id="rId256" Target="https://www.cisa.gov/news-events/directives/bod-26-02-mitigating-risk-end-support-edge-devices" TargetMode="External" /><Relationship Type="http://schemas.openxmlformats.org/officeDocument/2006/relationships/hyperlink" Id="rId230" Target="https://www.cisa.gov/news-events/directives/bod-26-04-prioritizing-security-updates-based-risk" TargetMode="External" /><Relationship Type="http://schemas.openxmlformats.org/officeDocument/2006/relationships/hyperlink" Id="rId133" Target="https://www.cisa.gov/publication/risk-management-process" TargetMode="External" /><Relationship Type="http://schemas.openxmlformats.org/officeDocument/2006/relationships/hyperlink" Id="rId261" Target="https://www.cisa.gov/resources-tools/programs/trusted-internet-connections-tic" TargetMode="External" /><Relationship Type="http://schemas.openxmlformats.org/officeDocument/2006/relationships/hyperlink" Id="rId278" Target="https://www.cisa.gov/resources-tools/resources/logging-reference-architecture" TargetMode="External" /><Relationship Type="http://schemas.openxmlformats.org/officeDocument/2006/relationships/hyperlink" Id="rId124" Target="https://www.ecfr.gov/current/title-32/section-2002.14" TargetMode="External" /><Relationship Type="http://schemas.openxmlformats.org/officeDocument/2006/relationships/hyperlink" Id="rId180" Target="https://www.ecfr.gov/current/title-32/section-2002.2" TargetMode="External" /><Relationship Type="http://schemas.openxmlformats.org/officeDocument/2006/relationships/hyperlink" Id="rId298" Target="https://www.ecfr.gov/current/title-41/section-201-1.304" TargetMode="External" /><Relationship Type="http://schemas.openxmlformats.org/officeDocument/2006/relationships/hyperlink" Id="rId33" Target="https://www.ecfr.gov/current/title-5/chapter-I/subchapter-B/part-930/subpart-C/section-930.301" TargetMode="External" /><Relationship Type="http://schemas.openxmlformats.org/officeDocument/2006/relationships/hyperlink" Id="rId210" Target="https://www.ecfr.gov/current/title-5/section-1400.201" TargetMode="External" /><Relationship Type="http://schemas.openxmlformats.org/officeDocument/2006/relationships/hyperlink" Id="rId209" Target="https://www.ecfr.gov/current/title-5/section-731.106" TargetMode="External" /><Relationship Type="http://schemas.openxmlformats.org/officeDocument/2006/relationships/hyperlink" Id="rId172" Target="https://www.federalregister.gov/documents/2011/10/13/2011-26729/structural-reforms-to-improve-the-security-of-classified-networks-and-the-responsible-sharing-and" TargetMode="External" /><Relationship Type="http://schemas.openxmlformats.org/officeDocument/2006/relationships/hyperlink" Id="rId253" Target="https://www.fedramp.gov/2026/authority/m-24-15/" TargetMode="External" /><Relationship Type="http://schemas.openxmlformats.org/officeDocument/2006/relationships/hyperlink" Id="rId297" Target="https://www.govinfo.gov/link/uscode/41/1323?link-type=html" TargetMode="External" /><Relationship Type="http://schemas.openxmlformats.org/officeDocument/2006/relationships/hyperlink" Id="rId290" Target="https://www.govinfo.gov/link/uscode/41/1326?link-type=html" TargetMode="External" /><Relationship Type="http://schemas.openxmlformats.org/officeDocument/2006/relationships/hyperlink" Id="rId291" Target="https://www.govinfo.gov/link/uscode/41/1328?link-type=html" TargetMode="External" /><Relationship Type="http://schemas.openxmlformats.org/officeDocument/2006/relationships/hyperlink" Id="rId247" Target="https://www.idmanagement.gov/fips201/" TargetMode="External" /><Relationship Type="http://schemas.openxmlformats.org/officeDocument/2006/relationships/hyperlink" Id="rId211" Target="https://www.opm.gov/suitability/suitability-executive-agent/position-designation-tool/" TargetMode="External" /><Relationship Type="http://schemas.openxmlformats.org/officeDocument/2006/relationships/hyperlink" Id="rId116" Target="https://www.whitehouse.gov/wp-content/uploads/2019/05/M-19-17.pdf" TargetMode="External" /><Relationship Type="http://schemas.openxmlformats.org/officeDocument/2006/relationships/hyperlink" Id="rId115" Target="https://www.whitehouse.gov/wp-content/uploads/2022/01/M-22-09.pdf" TargetMode="External" /><Relationship Type="http://schemas.openxmlformats.org/officeDocument/2006/relationships/hyperlink" Id="rId188" Target="https://www.whitehouse.gov/wp-content/uploads/2023/09/M-23-22-Delivering-a-Digital-First-Public-Experience.pdf" TargetMode="External" /><Relationship Type="http://schemas.openxmlformats.org/officeDocument/2006/relationships/hyperlink" Id="rId244" Target="https://www.whitehouse.gov/wp-content/uploads/2026/01/M-26-05-Adopting-a-Risk-based-Approach-to-Software-and-Hardware-Security.pdf" TargetMode="External" /><Relationship Type="http://schemas.openxmlformats.org/officeDocument/2006/relationships/hyperlink" Id="rId52" Target="https://www.whitehouse.gov/wp-content/uploads/2026/05/M-26-14-Ensuring-Effective-and-Efficient-Agency-Logging-and-Network-Visibility-to-Defend-Against-Evolving-Cyber-Threats.pdf" TargetMode="External" /><Relationship Type="http://schemas.openxmlformats.org/officeDocument/2006/relationships/hyperlink" Id="rId117" Target="https://www.whitehouse.gov/wp-content/uploads/2026/08/M-26-18-Scaling-Use-of-Login.gov-to-Deliver-a-Universal-Sign-on-for-Public-Services.pdf" TargetMode="External" /><Relationship Type="http://schemas.openxmlformats.org/officeDocument/2006/relationships/hyperlink" Id="rId3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66" Target="https://csrc.nist.gov/projects/fips-140-3-transition-effort" TargetMode="External" /><Relationship Type="http://schemas.openxmlformats.org/officeDocument/2006/relationships/hyperlink" Id="rId265" Target="https://csrc.nist.gov/pubs/fips/140-3/final" TargetMode="External" /><Relationship Type="http://schemas.openxmlformats.org/officeDocument/2006/relationships/hyperlink" Id="rId149" Target="https://csrc.nist.gov/pubs/fips/199/final" TargetMode="External" /><Relationship Type="http://schemas.openxmlformats.org/officeDocument/2006/relationships/hyperlink" Id="rId150" Target="https://csrc.nist.gov/pubs/fips/200/final" TargetMode="External" /><Relationship Type="http://schemas.openxmlformats.org/officeDocument/2006/relationships/hyperlink" Id="rId90" Target="https://csrc.nist.gov/pubs/fips/201-3/final" TargetMode="External" /><Relationship Type="http://schemas.openxmlformats.org/officeDocument/2006/relationships/hyperlink" Id="rId132" Target="https://csrc.nist.gov/pubs/sp/800/116/r1/final" TargetMode="External" /><Relationship Type="http://schemas.openxmlformats.org/officeDocument/2006/relationships/hyperlink" Id="rId181" Target="https://csrc.nist.gov/pubs/sp/800/171/r3/final" TargetMode="External" /><Relationship Type="http://schemas.openxmlformats.org/officeDocument/2006/relationships/hyperlink" Id="rId63" Target="https://csrc.nist.gov/pubs/sp/800/37/r2/final" TargetMode="External" /><Relationship Type="http://schemas.openxmlformats.org/officeDocument/2006/relationships/hyperlink" Id="rId225" Target="https://csrc.nist.gov/pubs/sp/800/60/r2/iwd" TargetMode="External" /><Relationship Type="http://schemas.openxmlformats.org/officeDocument/2006/relationships/hyperlink" Id="rId224" Target="https://csrc.nist.gov/pubs/sp/800/60/v1/r1/final" TargetMode="External" /><Relationship Type="http://schemas.openxmlformats.org/officeDocument/2006/relationships/hyperlink" Id="rId100" Target="https://csrc.nist.gov/pubs/sp/800/63/b/4/final" TargetMode="External" /><Relationship Type="http://schemas.openxmlformats.org/officeDocument/2006/relationships/hyperlink" Id="rId125" Target="https://csrc.nist.gov/pubs/sp/800/88/r2/final" TargetMode="External" /><Relationship Type="http://schemas.openxmlformats.org/officeDocument/2006/relationships/hyperlink" Id="rId23" Target="https://kston83.github.io/nist-guide/controls/ac/ac-8/" TargetMode="External" /><Relationship Type="http://schemas.openxmlformats.org/officeDocument/2006/relationships/hyperlink" Id="rId301" Target="https://kston83.github.io/nist-guide/templates/plans/incident-response-plan/"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284" Target="https://uscode.house.gov/view.xhtml?req=granuleid:USC-prelim-title44-section3101&amp;num=0&amp;edition=prelim" TargetMode="External" /><Relationship Type="http://schemas.openxmlformats.org/officeDocument/2006/relationships/hyperlink" Id="rId286" Target="https://uscode.house.gov/view.xhtml?req=granuleid:USC-prelim-title44-section3303a&amp;num=0&amp;edition=prelim" TargetMode="External" /><Relationship Type="http://schemas.openxmlformats.org/officeDocument/2006/relationships/hyperlink" Id="rId285" Target="https://uscode.house.gov/view.xhtml?req=granuleid:USC-prelim-title44-section3314&amp;num=0&amp;edition=prelim" TargetMode="External" /><Relationship Type="http://schemas.openxmlformats.org/officeDocument/2006/relationships/hyperlink" Id="rId161" Target="https://uscode.house.gov/view.xhtml?req=granuleid:USC-prelim-title44-section3505&amp;num=0&amp;edition=prelim" TargetMode="External" /><Relationship Type="http://schemas.openxmlformats.org/officeDocument/2006/relationships/hyperlink" Id="rId34" Target="https://uscode.house.gov/view.xhtml?req=granuleid:USC-prelim-title44-section3554&amp;num=0&amp;edition=prelim" TargetMode="External" /><Relationship Type="http://schemas.openxmlformats.org/officeDocument/2006/relationships/hyperlink" Id="rId192" Target="https://uscode.house.gov/view.xhtml?req=granuleid:USC-prelim-title5-section552a&amp;num=0&amp;edition=prelim" TargetMode="External" /><Relationship Type="http://schemas.openxmlformats.org/officeDocument/2006/relationships/hyperlink" Id="rId41" Target="https://www.archives.gov/files/records-mgmt/grs/grs02-6.pdf" TargetMode="External" /><Relationship Type="http://schemas.openxmlformats.org/officeDocument/2006/relationships/hyperlink" Id="rId137" Target="https://www.archives.gov/files/records-mgmt/grs/grs05-6.pdf" TargetMode="External" /><Relationship Type="http://schemas.openxmlformats.org/officeDocument/2006/relationships/hyperlink" Id="rId281" Target="https://www.cisa.gov/directives" TargetMode="External" /><Relationship Type="http://schemas.openxmlformats.org/officeDocument/2006/relationships/hyperlink" Id="rId108" Target="https://www.cisa.gov/federal-incident-notification-guidelines" TargetMode="External" /><Relationship Type="http://schemas.openxmlformats.org/officeDocument/2006/relationships/hyperlink" Id="rId118" Target="https://www.cisa.gov/news-events/directives/binding-operational-directive-23-02" TargetMode="External" /><Relationship Type="http://schemas.openxmlformats.org/officeDocument/2006/relationships/hyperlink" Id="rId235" Target="https://www.cisa.gov/news-events/directives/bod-20-01-develop-and-publish-vulnerability-disclosure-policy" TargetMode="External" /><Relationship Type="http://schemas.openxmlformats.org/officeDocument/2006/relationships/hyperlink" Id="rId231" Target="https://www.cisa.gov/news-events/directives/bod-23-01-improving-asset-visibility-and-vulnerability-detection-federal-networks" TargetMode="External" /><Relationship Type="http://schemas.openxmlformats.org/officeDocument/2006/relationships/hyperlink" Id="rId256" Target="https://www.cisa.gov/news-events/directives/bod-26-02-mitigating-risk-end-support-edge-devices" TargetMode="External" /><Relationship Type="http://schemas.openxmlformats.org/officeDocument/2006/relationships/hyperlink" Id="rId230" Target="https://www.cisa.gov/news-events/directives/bod-26-04-prioritizing-security-updates-based-risk" TargetMode="External" /><Relationship Type="http://schemas.openxmlformats.org/officeDocument/2006/relationships/hyperlink" Id="rId133" Target="https://www.cisa.gov/publication/risk-management-process" TargetMode="External" /><Relationship Type="http://schemas.openxmlformats.org/officeDocument/2006/relationships/hyperlink" Id="rId261" Target="https://www.cisa.gov/resources-tools/programs/trusted-internet-connections-tic" TargetMode="External" /><Relationship Type="http://schemas.openxmlformats.org/officeDocument/2006/relationships/hyperlink" Id="rId278" Target="https://www.cisa.gov/resources-tools/resources/logging-reference-architecture" TargetMode="External" /><Relationship Type="http://schemas.openxmlformats.org/officeDocument/2006/relationships/hyperlink" Id="rId124" Target="https://www.ecfr.gov/current/title-32/section-2002.14" TargetMode="External" /><Relationship Type="http://schemas.openxmlformats.org/officeDocument/2006/relationships/hyperlink" Id="rId180" Target="https://www.ecfr.gov/current/title-32/section-2002.2" TargetMode="External" /><Relationship Type="http://schemas.openxmlformats.org/officeDocument/2006/relationships/hyperlink" Id="rId298" Target="https://www.ecfr.gov/current/title-41/section-201-1.304" TargetMode="External" /><Relationship Type="http://schemas.openxmlformats.org/officeDocument/2006/relationships/hyperlink" Id="rId33" Target="https://www.ecfr.gov/current/title-5/chapter-I/subchapter-B/part-930/subpart-C/section-930.301" TargetMode="External" /><Relationship Type="http://schemas.openxmlformats.org/officeDocument/2006/relationships/hyperlink" Id="rId210" Target="https://www.ecfr.gov/current/title-5/section-1400.201" TargetMode="External" /><Relationship Type="http://schemas.openxmlformats.org/officeDocument/2006/relationships/hyperlink" Id="rId209" Target="https://www.ecfr.gov/current/title-5/section-731.106" TargetMode="External" /><Relationship Type="http://schemas.openxmlformats.org/officeDocument/2006/relationships/hyperlink" Id="rId172" Target="https://www.federalregister.gov/documents/2011/10/13/2011-26729/structural-reforms-to-improve-the-security-of-classified-networks-and-the-responsible-sharing-and" TargetMode="External" /><Relationship Type="http://schemas.openxmlformats.org/officeDocument/2006/relationships/hyperlink" Id="rId253" Target="https://www.fedramp.gov/2026/authority/m-24-15/" TargetMode="External" /><Relationship Type="http://schemas.openxmlformats.org/officeDocument/2006/relationships/hyperlink" Id="rId297" Target="https://www.govinfo.gov/link/uscode/41/1323?link-type=html" TargetMode="External" /><Relationship Type="http://schemas.openxmlformats.org/officeDocument/2006/relationships/hyperlink" Id="rId290" Target="https://www.govinfo.gov/link/uscode/41/1326?link-type=html" TargetMode="External" /><Relationship Type="http://schemas.openxmlformats.org/officeDocument/2006/relationships/hyperlink" Id="rId291" Target="https://www.govinfo.gov/link/uscode/41/1328?link-type=html" TargetMode="External" /><Relationship Type="http://schemas.openxmlformats.org/officeDocument/2006/relationships/hyperlink" Id="rId247" Target="https://www.idmanagement.gov/fips201/" TargetMode="External" /><Relationship Type="http://schemas.openxmlformats.org/officeDocument/2006/relationships/hyperlink" Id="rId211" Target="https://www.opm.gov/suitability/suitability-executive-agent/position-designation-tool/" TargetMode="External" /><Relationship Type="http://schemas.openxmlformats.org/officeDocument/2006/relationships/hyperlink" Id="rId116" Target="https://www.whitehouse.gov/wp-content/uploads/2019/05/M-19-17.pdf" TargetMode="External" /><Relationship Type="http://schemas.openxmlformats.org/officeDocument/2006/relationships/hyperlink" Id="rId115" Target="https://www.whitehouse.gov/wp-content/uploads/2022/01/M-22-09.pdf" TargetMode="External" /><Relationship Type="http://schemas.openxmlformats.org/officeDocument/2006/relationships/hyperlink" Id="rId188" Target="https://www.whitehouse.gov/wp-content/uploads/2023/09/M-23-22-Delivering-a-Digital-First-Public-Experience.pdf" TargetMode="External" /><Relationship Type="http://schemas.openxmlformats.org/officeDocument/2006/relationships/hyperlink" Id="rId244" Target="https://www.whitehouse.gov/wp-content/uploads/2026/01/M-26-05-Adopting-a-Risk-based-Approach-to-Software-and-Hardware-Security.pdf" TargetMode="External" /><Relationship Type="http://schemas.openxmlformats.org/officeDocument/2006/relationships/hyperlink" Id="rId52" Target="https://www.whitehouse.gov/wp-content/uploads/2026/05/M-26-14-Ensuring-Effective-and-Efficient-Agency-Logging-and-Network-Visibility-to-Defend-Against-Evolving-Cyber-Threats.pdf" TargetMode="External" /><Relationship Type="http://schemas.openxmlformats.org/officeDocument/2006/relationships/hyperlink" Id="rId117" Target="https://www.whitehouse.gov/wp-content/uploads/2026/08/M-26-18-Scaling-Use-of-Login.gov-to-Deliver-a-Universal-Sign-on-for-Public-Services.pdf" TargetMode="External" /><Relationship Type="http://schemas.openxmlformats.org/officeDocument/2006/relationships/hyperlink" Id="rId3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