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6" w:name="contingency-planning-policy"/>
    <w:p>
      <w:pPr>
        <w:pStyle w:val="Heading1"/>
      </w:pPr>
      <w:r>
        <w:t xml:space="preserve">Contingency Planning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CP-1,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CP-1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Contingency Planning, and who is accountable for meeting those requirements. (CP-1a.1(a))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(CP-1a.1(a))</w:t>
      </w:r>
    </w:p>
    <w:p>
      <w:pPr>
        <w:pStyle w:val="Compact"/>
        <w:numPr>
          <w:ilvl w:val="0"/>
          <w:numId w:val="1001"/>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manage the development, documentation and dissemination of this policy and its procedures. (CP-1b)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(CP-1a.1(a))</w:t>
      </w:r>
    </w:p>
    <w:p>
      <w:pPr>
        <w:pStyle w:val="Compact"/>
        <w:numPr>
          <w:ilvl w:val="0"/>
          <w:numId w:val="1002"/>
        </w:numPr>
      </w:pPr>
      <w:r>
        <w:t xml:space="preserve">Violations of this policy shall be handled through the organization’s sanctions process. (CP-1a.1(a))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ensure that documented procedures exist to implement this policy and its associated controls. (CP-1a.2)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contingency planning policy is to be disseminated. Typical: everyone within its scope, through the policy library]</w:t>
      </w:r>
      <w:r>
        <w:t xml:space="preserve">. (CP-1a)</w:t>
      </w:r>
    </w:p>
    <w:p>
      <w:pPr>
        <w:pStyle w:val="Compact"/>
        <w:numPr>
          <w:ilvl w:val="0"/>
          <w:numId w:val="1003"/>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contingency planning procedures are to be disseminated. Typical: the people who carry them out, and the system owners]</w:t>
      </w:r>
      <w:r>
        <w:t xml:space="preserve">. (CP-1a)</w:t>
      </w:r>
    </w:p>
    <w:bookmarkEnd w:id="18"/>
    <w:bookmarkStart w:id="61"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contingency-plan-cp-2"/>
    <w:p>
      <w:pPr>
        <w:pStyle w:val="Heading3"/>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9">
        <w:r>
          <w:rPr>
            <w:rStyle w:val="Hyperlink"/>
          </w:rPr>
          <w:t xml:space="preserve">business impact analysis</w:t>
        </w:r>
      </w:hyperlink>
      <w:r>
        <w:t xml:space="preserve">, which sets the recovery objectives. The</w:t>
      </w:r>
      <w:r>
        <w:t xml:space="preserve"> </w:t>
      </w:r>
      <w:hyperlink r:id="rId20">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004"/>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004"/>
        </w:numPr>
      </w:pPr>
      <w:r>
        <w:t xml:space="preserve">The contingency plan shall provide recovery objectives, restoration priorities and metrics. (CP-2a.2)</w:t>
      </w:r>
    </w:p>
    <w:p>
      <w:pPr>
        <w:pStyle w:val="Compact"/>
        <w:numPr>
          <w:ilvl w:val="0"/>
          <w:numId w:val="1004"/>
        </w:numPr>
      </w:pPr>
      <w:r>
        <w:t xml:space="preserve">The contingency plan shall set out contingency roles and responsibilities, and the assigned individuals with their contact information. (CP-2a.3)</w:t>
      </w:r>
    </w:p>
    <w:p>
      <w:pPr>
        <w:pStyle w:val="Compact"/>
        <w:numPr>
          <w:ilvl w:val="0"/>
          <w:numId w:val="1004"/>
        </w:numPr>
      </w:pPr>
      <w:r>
        <w:t xml:space="preserve">The contingency plan shall address maintaining essential mission and business functions despite a system disruption, compromise or failure. (CP-2a.4)</w:t>
      </w:r>
    </w:p>
    <w:p>
      <w:pPr>
        <w:pStyle w:val="Compact"/>
        <w:numPr>
          <w:ilvl w:val="0"/>
          <w:numId w:val="1004"/>
        </w:numPr>
      </w:pPr>
      <w:r>
        <w:t xml:space="preserve">The contingency plan shall address eventual, full system restoration without deterioration of the controls originally planned and implemented. (CP-2a.5)</w:t>
      </w:r>
    </w:p>
    <w:p>
      <w:pPr>
        <w:pStyle w:val="Compact"/>
        <w:numPr>
          <w:ilvl w:val="0"/>
          <w:numId w:val="1004"/>
        </w:numPr>
      </w:pPr>
      <w:r>
        <w:t xml:space="preserve">The contingency plan shall address the sharing of contingency information. (CP-2a.6)</w:t>
      </w:r>
    </w:p>
    <w:p>
      <w:pPr>
        <w:pStyle w:val="Compact"/>
        <w:numPr>
          <w:ilvl w:val="0"/>
          <w:numId w:val="1004"/>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004"/>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004"/>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004"/>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004"/>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21"/>
    <w:bookmarkStart w:id="22" w:name="coordinate-with-related-plans-cp-21"/>
    <w:p>
      <w:pPr>
        <w:pStyle w:val="Heading3"/>
      </w:pPr>
      <w:r>
        <w:t xml:space="preserve">Coordinate with related plans (CP-2(1))</w:t>
      </w:r>
    </w:p>
    <w:p>
      <w:pPr>
        <w:pStyle w:val="Guidance"/>
      </w:pPr>
      <w:r>
        <w:t xml:space="preserve">Related plans include the business continuity plan, the continuity of operations plan, the disaster recovery plan, the incident response plan and the crisis communications plan. Coordination means the plans agree on priorities, recovery times, contacts and who declares what.</w:t>
      </w:r>
    </w:p>
    <w:p>
      <w:pPr>
        <w:pStyle w:val="Compact"/>
        <w:numPr>
          <w:ilvl w:val="0"/>
          <w:numId w:val="1005"/>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22"/>
    <w:bookmarkStart w:id="23" w:name="capacity-planning-cp-22"/>
    <w:p>
      <w:pPr>
        <w:pStyle w:val="Heading3"/>
      </w:pPr>
      <w:r>
        <w:t xml:space="preserve">Capacity planning (CP-2(2))</w:t>
      </w:r>
    </w:p>
    <w:p>
      <w:pPr>
        <w:pStyle w:val="Compact"/>
        <w:numPr>
          <w:ilvl w:val="0"/>
          <w:numId w:val="1006"/>
        </w:numPr>
      </w:pPr>
      <w:r>
        <w:t xml:space="preserve">The</w:t>
      </w:r>
      <w:r>
        <w:t xml:space="preserve"> </w:t>
      </w:r>
      <w:r>
        <w:rPr>
          <w:rStyle w:val="Fill-in"/>
        </w:rPr>
        <w:t xml:space="preserve">[System owner]</w:t>
      </w:r>
      <w:r>
        <w:t xml:space="preserve"> </w:t>
      </w:r>
      <w:r>
        <w:t xml:space="preserve">shall conduct capacity planning so that the processing, telecommunications and environmental support capacity needed during contingency operations exists. (CP-2(2))</w:t>
      </w:r>
    </w:p>
    <w:bookmarkEnd w:id="23"/>
    <w:bookmarkStart w:id="24" w:name="Xd5f4c6b6dd62578725c9c089edf4a44b8969bfe"/>
    <w:p>
      <w:pPr>
        <w:pStyle w:val="Heading3"/>
      </w:pPr>
      <w:r>
        <w:t xml:space="preserve">Resume mission and business functions (CP-2(3))</w:t>
      </w:r>
    </w:p>
    <w:p>
      <w:pPr>
        <w:pStyle w:val="Compact"/>
        <w:numPr>
          <w:ilvl w:val="0"/>
          <w:numId w:val="1007"/>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24"/>
    <w:bookmarkStart w:id="25" w:name="X41c8d1990876e8858ccfe17cd8b4a17c9f6c57b"/>
    <w:p>
      <w:pPr>
        <w:pStyle w:val="Heading3"/>
      </w:pPr>
      <w:r>
        <w:t xml:space="preserve">Continue mission and business functions (CP-2(5))</w:t>
      </w:r>
    </w:p>
    <w:p>
      <w:pPr>
        <w:pStyle w:val="Compact"/>
        <w:numPr>
          <w:ilvl w:val="0"/>
          <w:numId w:val="1008"/>
        </w:numPr>
      </w:pPr>
      <w:r>
        <w:t xml:space="preserve">The</w:t>
      </w:r>
      <w:r>
        <w:t xml:space="preserve"> </w:t>
      </w:r>
      <w:r>
        <w:rPr>
          <w:rStyle w:val="Fill-in"/>
        </w:rPr>
        <w:t xml:space="preserve">[System owner]</w:t>
      </w:r>
      <w:r>
        <w:t xml:space="preserve"> </w:t>
      </w:r>
      <w:r>
        <w:t xml:space="preserve">shall plan for the continuance of</w:t>
      </w:r>
      <w:r>
        <w:t xml:space="preserve"> </w:t>
      </w:r>
      <w:r>
        <w:rPr>
          <w:rStyle w:val="Fill-in"/>
        </w:rPr>
        <w:t xml:space="preserve">[Select one: all; essential. Typical: essential]</w:t>
      </w:r>
      <w:r>
        <w:t xml:space="preserve"> </w:t>
      </w:r>
      <w:r>
        <w:t xml:space="preserve">mission and business functions with minimal or no loss of operational continuity, sustained until full system restoration at the primary processing or storage sites. (CP-2(5))</w:t>
      </w:r>
    </w:p>
    <w:bookmarkEnd w:id="25"/>
    <w:bookmarkStart w:id="26" w:name="identify-critical-assets-cp-28"/>
    <w:p>
      <w:pPr>
        <w:pStyle w:val="Heading3"/>
      </w:pPr>
      <w:r>
        <w:t xml:space="preserve">Identify critical assets (CP-2(8))</w:t>
      </w:r>
    </w:p>
    <w:p>
      <w:pPr>
        <w:pStyle w:val="Guidance"/>
      </w:pPr>
      <w:r>
        <w:t xml:space="preserve">Critical assets are the components, services and people the functions cannot run without. The criticality analysis (RA-9) and the business impact analysis are the usual sources.</w:t>
      </w:r>
    </w:p>
    <w:p>
      <w:pPr>
        <w:pStyle w:val="Compact"/>
        <w:numPr>
          <w:ilvl w:val="0"/>
          <w:numId w:val="1009"/>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26"/>
    <w:bookmarkStart w:id="27" w:name="contingency-training-cp-3"/>
    <w:p>
      <w:pPr>
        <w:pStyle w:val="Heading3"/>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010"/>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010"/>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010"/>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010"/>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27"/>
    <w:bookmarkStart w:id="28" w:name="simulated-events-cp-31"/>
    <w:p>
      <w:pPr>
        <w:pStyle w:val="Heading3"/>
      </w:pPr>
      <w:r>
        <w:t xml:space="preserve">Simulated events (CP-3(1))</w:t>
      </w:r>
    </w:p>
    <w:p>
      <w:pPr>
        <w:pStyle w:val="Compact"/>
        <w:numPr>
          <w:ilvl w:val="0"/>
          <w:numId w:val="1011"/>
        </w:numPr>
      </w:pPr>
      <w:r>
        <w:t xml:space="preserve">The</w:t>
      </w:r>
      <w:r>
        <w:t xml:space="preserve"> </w:t>
      </w:r>
      <w:r>
        <w:rPr>
          <w:rStyle w:val="Fill-in"/>
        </w:rPr>
        <w:t xml:space="preserve">[System owner]</w:t>
      </w:r>
      <w:r>
        <w:t xml:space="preserve"> </w:t>
      </w:r>
      <w:r>
        <w:t xml:space="preserve">shall incorporate simulated events into contingency training so personnel practice an effective response to crisis situations. (CP-3(1))</w:t>
      </w:r>
    </w:p>
    <w:bookmarkEnd w:id="28"/>
    <w:bookmarkStart w:id="31" w:name="contingency-plan-testing-cp-4"/>
    <w:p>
      <w:pPr>
        <w:pStyle w:val="Heading3"/>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29">
        <w:r>
          <w:rPr>
            <w:rStyle w:val="Hyperlink"/>
          </w:rPr>
          <w:t xml:space="preserve">test plan template</w:t>
        </w:r>
      </w:hyperlink>
      <w:r>
        <w:t xml:space="preserve">, record the results in an</w:t>
      </w:r>
      <w:r>
        <w:t xml:space="preserve"> </w:t>
      </w:r>
      <w:hyperlink r:id="rId30">
        <w:r>
          <w:rPr>
            <w:rStyle w:val="Hyperlink"/>
          </w:rPr>
          <w:t xml:space="preserve">after-action report</w:t>
        </w:r>
      </w:hyperlink>
      <w:r>
        <w:t xml:space="preserve">, and track corrective actions to closure.</w:t>
      </w:r>
    </w:p>
    <w:p>
      <w:pPr>
        <w:pStyle w:val="Compact"/>
        <w:numPr>
          <w:ilvl w:val="0"/>
          <w:numId w:val="1012"/>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012"/>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012"/>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31"/>
    <w:bookmarkStart w:id="32" w:name="coordinate-with-related-plans-cp-41"/>
    <w:p>
      <w:pPr>
        <w:pStyle w:val="Heading3"/>
      </w:pPr>
      <w:r>
        <w:t xml:space="preserve">Coordinate with related plans (CP-4(1))</w:t>
      </w:r>
    </w:p>
    <w:p>
      <w:pPr>
        <w:pStyle w:val="Compact"/>
        <w:numPr>
          <w:ilvl w:val="0"/>
          <w:numId w:val="1013"/>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32"/>
    <w:bookmarkStart w:id="33" w:name="alternate-processing-site-cp-42"/>
    <w:p>
      <w:pPr>
        <w:pStyle w:val="Heading3"/>
      </w:pPr>
      <w:r>
        <w:t xml:space="preserve">Alternate processing site (CP-4(2))</w:t>
      </w:r>
    </w:p>
    <w:p>
      <w:pPr>
        <w:pStyle w:val="Compact"/>
        <w:numPr>
          <w:ilvl w:val="0"/>
          <w:numId w:val="1014"/>
        </w:numPr>
      </w:pPr>
      <w:r>
        <w:t xml:space="preserve">The</w:t>
      </w:r>
      <w:r>
        <w:t xml:space="preserve"> </w:t>
      </w:r>
      <w:r>
        <w:rPr>
          <w:rStyle w:val="Fill-in"/>
        </w:rPr>
        <w:t xml:space="preserve">[System owner]</w:t>
      </w:r>
      <w:r>
        <w:t xml:space="preserve"> </w:t>
      </w:r>
      <w:r>
        <w:t xml:space="preserve">shall test the contingency plan at the alternate processing site to familiarize contingency personnel with the facility and its resources. (CP-4(2)(a))</w:t>
      </w:r>
    </w:p>
    <w:p>
      <w:pPr>
        <w:pStyle w:val="Compact"/>
        <w:numPr>
          <w:ilvl w:val="0"/>
          <w:numId w:val="1014"/>
        </w:numPr>
      </w:pPr>
      <w:r>
        <w:t xml:space="preserve">The</w:t>
      </w:r>
      <w:r>
        <w:t xml:space="preserve"> </w:t>
      </w:r>
      <w:r>
        <w:rPr>
          <w:rStyle w:val="Fill-in"/>
        </w:rPr>
        <w:t xml:space="preserve">[System owner]</w:t>
      </w:r>
      <w:r>
        <w:t xml:space="preserve"> </w:t>
      </w:r>
      <w:r>
        <w:t xml:space="preserve">shall test the contingency plan at the alternate processing site to evaluate the site’s capability to support contingency operations. (CP-4(2)(b))</w:t>
      </w:r>
    </w:p>
    <w:bookmarkEnd w:id="33"/>
    <w:bookmarkStart w:id="34" w:name="alternate-storage-site-cp-6"/>
    <w:p>
      <w:pPr>
        <w:pStyle w:val="Heading3"/>
      </w:pPr>
      <w:r>
        <w:t xml:space="preserve">Alternate storage site (CP-6)</w:t>
      </w:r>
    </w:p>
    <w:p>
      <w:pPr>
        <w:pStyle w:val="Guidance"/>
      </w:pPr>
      <w:r>
        <w:t xml:space="preserve">The alternate storage site holds the backups needed to recover the system.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015"/>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34"/>
    <w:bookmarkStart w:id="35" w:name="separation-from-primary-site-cp-61"/>
    <w:p>
      <w:pPr>
        <w:pStyle w:val="Heading3"/>
      </w:pPr>
      <w:r>
        <w:t xml:space="preserve">Separation from primary site (CP-6(1))</w:t>
      </w:r>
    </w:p>
    <w:p>
      <w:pPr>
        <w:pStyle w:val="Compact"/>
        <w:numPr>
          <w:ilvl w:val="0"/>
          <w:numId w:val="1016"/>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35"/>
    <w:bookmarkStart w:id="36" w:name="Xc67ded5c9737b95663945e755c57df85250e5a4"/>
    <w:p>
      <w:pPr>
        <w:pStyle w:val="Heading3"/>
      </w:pPr>
      <w:r>
        <w:t xml:space="preserve">Recovery time and recovery point objectives (CP-6(2))</w:t>
      </w:r>
    </w:p>
    <w:p>
      <w:pPr>
        <w:pStyle w:val="Compact"/>
        <w:numPr>
          <w:ilvl w:val="0"/>
          <w:numId w:val="1017"/>
        </w:numPr>
      </w:pPr>
      <w:r>
        <w:t xml:space="preserve">The</w:t>
      </w:r>
      <w:r>
        <w:t xml:space="preserve"> </w:t>
      </w:r>
      <w:r>
        <w:rPr>
          <w:rStyle w:val="Fill-in"/>
        </w:rPr>
        <w:t xml:space="preserve">[System owner]</w:t>
      </w:r>
      <w:r>
        <w:t xml:space="preserve"> </w:t>
      </w:r>
      <w:r>
        <w:t xml:space="preserve">shall configure the alternate storage site to support recovery operations in accordance with the recovery time and recovery point objectives. (CP-6(2))</w:t>
      </w:r>
    </w:p>
    <w:bookmarkEnd w:id="36"/>
    <w:bookmarkStart w:id="37" w:name="accessibility-cp-63"/>
    <w:p>
      <w:pPr>
        <w:pStyle w:val="Heading3"/>
      </w:pPr>
      <w:r>
        <w:t xml:space="preserve">Accessibility (CP-6(3))</w:t>
      </w:r>
    </w:p>
    <w:p>
      <w:pPr>
        <w:pStyle w:val="Compact"/>
        <w:numPr>
          <w:ilvl w:val="0"/>
          <w:numId w:val="1018"/>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37"/>
    <w:bookmarkStart w:id="38" w:name="alternate-processing-site-cp-7"/>
    <w:p>
      <w:pPr>
        <w:pStyle w:val="Heading3"/>
      </w:pPr>
      <w:r>
        <w:t xml:space="preserve">Alternate processing site (CP-7)</w:t>
      </w:r>
    </w:p>
    <w:p>
      <w:pPr>
        <w:pStyle w:val="Guidance"/>
      </w:pPr>
      <w:r>
        <w:t xml:space="preserve">The alternate processing site is where the system runs when the primary site cannot.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019"/>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019"/>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019"/>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38"/>
    <w:bookmarkStart w:id="39" w:name="separation-from-primary-site-cp-71"/>
    <w:p>
      <w:pPr>
        <w:pStyle w:val="Heading3"/>
      </w:pPr>
      <w:r>
        <w:t xml:space="preserve">Separation from primary site (CP-7(1))</w:t>
      </w:r>
    </w:p>
    <w:p>
      <w:pPr>
        <w:pStyle w:val="Compact"/>
        <w:numPr>
          <w:ilvl w:val="0"/>
          <w:numId w:val="1020"/>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39"/>
    <w:bookmarkStart w:id="40" w:name="accessibility-cp-72"/>
    <w:p>
      <w:pPr>
        <w:pStyle w:val="Heading3"/>
      </w:pPr>
      <w:r>
        <w:t xml:space="preserve">Accessibility (CP-7(2))</w:t>
      </w:r>
    </w:p>
    <w:p>
      <w:pPr>
        <w:pStyle w:val="Compact"/>
        <w:numPr>
          <w:ilvl w:val="0"/>
          <w:numId w:val="1021"/>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40"/>
    <w:bookmarkStart w:id="41" w:name="priority-of-service-cp-73"/>
    <w:p>
      <w:pPr>
        <w:pStyle w:val="Heading3"/>
      </w:pPr>
      <w:r>
        <w:t xml:space="preserve">Priority of service (CP-7(3))</w:t>
      </w:r>
    </w:p>
    <w:p>
      <w:pPr>
        <w:pStyle w:val="Compact"/>
        <w:numPr>
          <w:ilvl w:val="0"/>
          <w:numId w:val="1022"/>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41"/>
    <w:bookmarkStart w:id="42" w:name="preparation-for-use-cp-74"/>
    <w:p>
      <w:pPr>
        <w:pStyle w:val="Heading3"/>
      </w:pPr>
      <w:r>
        <w:t xml:space="preserve">Preparation for use (CP-7(4))</w:t>
      </w:r>
    </w:p>
    <w:p>
      <w:pPr>
        <w:pStyle w:val="Compact"/>
        <w:numPr>
          <w:ilvl w:val="0"/>
          <w:numId w:val="1023"/>
        </w:numPr>
      </w:pPr>
      <w:r>
        <w:t xml:space="preserve">The</w:t>
      </w:r>
      <w:r>
        <w:t xml:space="preserve"> </w:t>
      </w:r>
      <w:r>
        <w:rPr>
          <w:rStyle w:val="Fill-in"/>
        </w:rPr>
        <w:t xml:space="preserve">[System owner]</w:t>
      </w:r>
      <w:r>
        <w:t xml:space="preserve"> </w:t>
      </w:r>
      <w:r>
        <w:t xml:space="preserve">shall prepare the alternate processing site so that it can serve as the operational site supporting essential mission and business functions. (CP-7(4))</w:t>
      </w:r>
    </w:p>
    <w:bookmarkEnd w:id="42"/>
    <w:bookmarkStart w:id="43" w:name="telecommunications-services-cp-8"/>
    <w:p>
      <w:pPr>
        <w:pStyle w:val="Heading3"/>
      </w:pPr>
      <w:r>
        <w:t xml:space="preserve">Telecommunications services (CP-8)</w:t>
      </w:r>
    </w:p>
    <w:p>
      <w:pPr>
        <w:pStyle w:val="Guidance"/>
      </w:pPr>
      <w:r>
        <w:t xml:space="preserve">Alternate telecommunications keep the system reachable when the primary network or internet service fails, at the primary site or at the alternate sites: for example a second internet provider, a wireless backup link, or a provider-managed network with diverse paths.</w:t>
      </w:r>
    </w:p>
    <w:p>
      <w:pPr>
        <w:pStyle w:val="Compact"/>
        <w:numPr>
          <w:ilvl w:val="0"/>
          <w:numId w:val="1024"/>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43"/>
    <w:bookmarkStart w:id="46" w:name="priority-of-service-provisions-cp-81"/>
    <w:p>
      <w:pPr>
        <w:pStyle w:val="Heading3"/>
      </w:pPr>
      <w:r>
        <w:t xml:space="preserve">Priority of service provisions (CP-8(1))</w:t>
      </w:r>
    </w:p>
    <w:p>
      <w:pPr>
        <w:pStyle w:val="Compact"/>
        <w:numPr>
          <w:ilvl w:val="0"/>
          <w:numId w:val="1025"/>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025"/>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45" w:name="federal-systems"/>
    <w:p>
      <w:pPr>
        <w:pStyle w:val="Heading4"/>
      </w:pPr>
      <w:r>
        <w:t xml:space="preserve">Federal systems</w:t>
      </w:r>
    </w:p>
    <w:p>
      <w:pPr>
        <w:pStyle w:val="FirstParagraph"/>
      </w:pPr>
      <w:hyperlink r:id="rId44">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026"/>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45"/>
    <w:bookmarkEnd w:id="46"/>
    <w:bookmarkStart w:id="47" w:name="single-points-of-failure-cp-82"/>
    <w:p>
      <w:pPr>
        <w:pStyle w:val="Heading3"/>
      </w:pPr>
      <w:r>
        <w:t xml:space="preserve">Single points of failure (CP-8(2))</w:t>
      </w:r>
    </w:p>
    <w:p>
      <w:pPr>
        <w:pStyle w:val="Compact"/>
        <w:numPr>
          <w:ilvl w:val="0"/>
          <w:numId w:val="1027"/>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47"/>
    <w:bookmarkStart w:id="48" w:name="Xfbbb8e944178ba28d72b9677b819c13be56693b"/>
    <w:p>
      <w:pPr>
        <w:pStyle w:val="Heading3"/>
      </w:pPr>
      <w:r>
        <w:t xml:space="preserve">Separation of primary and alternate providers (CP-8(3))</w:t>
      </w:r>
    </w:p>
    <w:p>
      <w:pPr>
        <w:pStyle w:val="Compact"/>
        <w:numPr>
          <w:ilvl w:val="0"/>
          <w:numId w:val="1028"/>
        </w:numPr>
      </w:pPr>
      <w:r>
        <w:t xml:space="preserve">The</w:t>
      </w:r>
      <w:r>
        <w:t xml:space="preserve"> </w:t>
      </w:r>
      <w:r>
        <w:rPr>
          <w:rStyle w:val="Fill-in"/>
        </w:rPr>
        <w:t xml:space="preserve">[System owner]</w:t>
      </w:r>
      <w:r>
        <w:t xml:space="preserve"> </w:t>
      </w:r>
      <w:r>
        <w:t xml:space="preserve">shall obtain alternate telecommunications services from providers separated from the primary service providers, to reduce susceptibility to the same threats. (CP-8(3))</w:t>
      </w:r>
    </w:p>
    <w:bookmarkEnd w:id="48"/>
    <w:bookmarkStart w:id="49" w:name="provider-contingency-plan-cp-84"/>
    <w:p>
      <w:pPr>
        <w:pStyle w:val="Heading3"/>
      </w:pPr>
      <w:r>
        <w:t xml:space="preserve">Provider contingency plan (CP-8(4))</w:t>
      </w:r>
    </w:p>
    <w:p>
      <w:pPr>
        <w:pStyle w:val="Compact"/>
        <w:numPr>
          <w:ilvl w:val="0"/>
          <w:numId w:val="1029"/>
        </w:numPr>
      </w:pPr>
      <w:r>
        <w:t xml:space="preserve">The</w:t>
      </w:r>
      <w:r>
        <w:t xml:space="preserve"> </w:t>
      </w:r>
      <w:r>
        <w:rPr>
          <w:rStyle w:val="Fill-in"/>
        </w:rPr>
        <w:t xml:space="preserve">[System owner]</w:t>
      </w:r>
      <w:r>
        <w:t xml:space="preserve"> </w:t>
      </w:r>
      <w:r>
        <w:t xml:space="preserve">shall require primary and alternate telecommunications service providers to have contingency plans. (CP-8(4)(a))</w:t>
      </w:r>
    </w:p>
    <w:p>
      <w:pPr>
        <w:pStyle w:val="Compact"/>
        <w:numPr>
          <w:ilvl w:val="0"/>
          <w:numId w:val="1029"/>
        </w:numPr>
      </w:pPr>
      <w:r>
        <w:t xml:space="preserve">The</w:t>
      </w:r>
      <w:r>
        <w:t xml:space="preserve"> </w:t>
      </w:r>
      <w:r>
        <w:rPr>
          <w:rStyle w:val="Fill-in"/>
        </w:rPr>
        <w:t xml:space="preserve">[System owner]</w:t>
      </w:r>
      <w:r>
        <w:t xml:space="preserve"> </w:t>
      </w:r>
      <w:r>
        <w:t xml:space="preserve">shall review provider contingency plans to ensure they meet the organization’s contingency requirements. (CP-8(4)(b))</w:t>
      </w:r>
    </w:p>
    <w:p>
      <w:pPr>
        <w:pStyle w:val="Compact"/>
        <w:numPr>
          <w:ilvl w:val="0"/>
          <w:numId w:val="1029"/>
        </w:numPr>
      </w:pPr>
      <w:r>
        <w:t xml:space="preserve">The</w:t>
      </w:r>
      <w:r>
        <w:t xml:space="preserve"> </w:t>
      </w:r>
      <w:r>
        <w:rPr>
          <w:rStyle w:val="Fill-in"/>
        </w:rPr>
        <w:t xml:space="preserve">[System owner]</w:t>
      </w:r>
      <w:r>
        <w:t xml:space="preserve"> </w:t>
      </w:r>
      <w:r>
        <w:t xml:space="preserve">shall obtain evidence of contingency testing by providers</w:t>
      </w:r>
      <w:r>
        <w:t xml:space="preserve"> </w:t>
      </w:r>
      <w:r>
        <w:rPr>
          <w:rStyle w:val="Fill-in"/>
        </w:rPr>
        <w:t xml:space="preserve">[Fill in: frequency at which to obtain evidence of contingency testing by providers. Typical: annually]</w:t>
      </w:r>
      <w:r>
        <w:t xml:space="preserve">, and of contingency training by providers</w:t>
      </w:r>
      <w:r>
        <w:t xml:space="preserve"> </w:t>
      </w:r>
      <w:r>
        <w:rPr>
          <w:rStyle w:val="Fill-in"/>
        </w:rPr>
        <w:t xml:space="preserve">[Fill in: frequency at which to obtain evidence of contingency training by providers. Typical: annually]</w:t>
      </w:r>
      <w:r>
        <w:t xml:space="preserve">. (CP-8(4)(c))</w:t>
      </w:r>
    </w:p>
    <w:bookmarkEnd w:id="49"/>
    <w:bookmarkStart w:id="50" w:name="system-backup-cp-9"/>
    <w:p>
      <w:pPr>
        <w:pStyle w:val="Heading3"/>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030"/>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030"/>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50"/>
    <w:bookmarkStart w:id="51" w:name="Xe709707d39fcebdbb5136b5fc668410c572157b"/>
    <w:p>
      <w:pPr>
        <w:pStyle w:val="Heading3"/>
      </w:pPr>
      <w:r>
        <w:t xml:space="preserve">Testing for reliability and integrity (CP-9(1))</w:t>
      </w:r>
    </w:p>
    <w:p>
      <w:pPr>
        <w:pStyle w:val="Compact"/>
        <w:numPr>
          <w:ilvl w:val="0"/>
          <w:numId w:val="1031"/>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031"/>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51"/>
    <w:bookmarkStart w:id="52" w:name="test-restoration-using-sampling-cp-92"/>
    <w:p>
      <w:pPr>
        <w:pStyle w:val="Heading3"/>
      </w:pPr>
      <w:r>
        <w:t xml:space="preserve">Test restoration using sampling (CP-9(2))</w:t>
      </w:r>
    </w:p>
    <w:p>
      <w:pPr>
        <w:pStyle w:val="Compact"/>
        <w:numPr>
          <w:ilvl w:val="0"/>
          <w:numId w:val="1032"/>
        </w:numPr>
      </w:pPr>
      <w:r>
        <w:t xml:space="preserve">The</w:t>
      </w:r>
      <w:r>
        <w:t xml:space="preserve"> </w:t>
      </w:r>
      <w:r>
        <w:rPr>
          <w:rStyle w:val="Fill-in"/>
        </w:rPr>
        <w:t xml:space="preserve">[System owner]</w:t>
      </w:r>
      <w:r>
        <w:t xml:space="preserve"> </w:t>
      </w:r>
      <w:r>
        <w:t xml:space="preserve">shall use a sample of backup information to restore selected system functions as part of contingency plan testing. (CP-9(2))</w:t>
      </w:r>
    </w:p>
    <w:bookmarkEnd w:id="52"/>
    <w:bookmarkStart w:id="53" w:name="X5fe1d182565223726e0da9b03abe8f94b880e08"/>
    <w:p>
      <w:pPr>
        <w:pStyle w:val="Heading3"/>
      </w:pPr>
      <w:r>
        <w:t xml:space="preserve">Separate storage for critical information (CP-9(3))</w:t>
      </w:r>
    </w:p>
    <w:p>
      <w:pPr>
        <w:pStyle w:val="Compact"/>
        <w:numPr>
          <w:ilvl w:val="0"/>
          <w:numId w:val="1033"/>
        </w:numPr>
      </w:pPr>
      <w:r>
        <w:t xml:space="preserve">The</w:t>
      </w:r>
      <w:r>
        <w:t xml:space="preserve"> </w:t>
      </w:r>
      <w:r>
        <w:rPr>
          <w:rStyle w:val="Fill-in"/>
        </w:rPr>
        <w:t xml:space="preserve">[System owner]</w:t>
      </w:r>
      <w:r>
        <w:t xml:space="preserve"> </w:t>
      </w:r>
      <w:r>
        <w:t xml:space="preserve">shall store backup copies of</w:t>
      </w:r>
      <w:r>
        <w:t xml:space="preserve"> </w:t>
      </w:r>
      <w:r>
        <w:rPr>
          <w:rStyle w:val="Fill-in"/>
        </w:rPr>
        <w:t xml:space="preserve">[Fill in: critical system software and other security-related information backups to be stored in a separate facility. Typical: system software, configuration baselines, and security-related information such as cryptographic key backups]</w:t>
      </w:r>
      <w:r>
        <w:t xml:space="preserve"> </w:t>
      </w:r>
      <w:r>
        <w:t xml:space="preserve">in a separate facility, or in a fire-rated container not collocated with the operational system. (CP-9(3))</w:t>
      </w:r>
    </w:p>
    <w:bookmarkEnd w:id="53"/>
    <w:bookmarkStart w:id="54" w:name="transfer-to-alternate-storage-site-cp-95"/>
    <w:p>
      <w:pPr>
        <w:pStyle w:val="Heading3"/>
      </w:pPr>
      <w:r>
        <w:t xml:space="preserve">Transfer to alternate storage site (CP-9(5))</w:t>
      </w:r>
    </w:p>
    <w:p>
      <w:pPr>
        <w:pStyle w:val="Compact"/>
        <w:numPr>
          <w:ilvl w:val="0"/>
          <w:numId w:val="1034"/>
        </w:numPr>
      </w:pPr>
      <w:r>
        <w:t xml:space="preserve">The</w:t>
      </w:r>
      <w:r>
        <w:t xml:space="preserve"> </w:t>
      </w:r>
      <w:r>
        <w:rPr>
          <w:rStyle w:val="Fill-in"/>
        </w:rPr>
        <w:t xml:space="preserve">[System owner]</w:t>
      </w:r>
      <w:r>
        <w:t xml:space="preserve"> </w:t>
      </w:r>
      <w:r>
        <w:t xml:space="preserve">shall transfer system backup information to the alternate storage site</w:t>
      </w:r>
      <w:r>
        <w:t xml:space="preserve"> </w:t>
      </w:r>
      <w:r>
        <w:rPr>
          <w:rStyle w:val="Fill-in"/>
        </w:rPr>
        <w:t xml:space="preserve">[Fill in: time period consistent with recovery time and recovery point objectives. Typical: daily]</w:t>
      </w:r>
      <w:r>
        <w:t xml:space="preserve">, at</w:t>
      </w:r>
      <w:r>
        <w:t xml:space="preserve"> </w:t>
      </w:r>
      <w:r>
        <w:rPr>
          <w:rStyle w:val="Fill-in"/>
        </w:rPr>
        <w:t xml:space="preserve">[Fill in: transfer rate consistent with recovery time and recovery point objectives. Typical: a rate that keeps the alternate copy within the recovery point objective]</w:t>
      </w:r>
      <w:r>
        <w:t xml:space="preserve">. (CP-9(5))</w:t>
      </w:r>
    </w:p>
    <w:bookmarkEnd w:id="54"/>
    <w:bookmarkStart w:id="57" w:name="cryptographic-protection-cp-98"/>
    <w:p>
      <w:pPr>
        <w:pStyle w:val="Heading3"/>
      </w:pPr>
      <w:r>
        <w:t xml:space="preserve">Cryptographic protection (CP-9(8))</w:t>
      </w:r>
    </w:p>
    <w:p>
      <w:pPr>
        <w:pStyle w:val="Guidance"/>
      </w:pPr>
      <w:r>
        <w:t xml:space="preserve">Encrypt backups with the cryptography the organization approves under SC-13, and keep the keys where a loss of the primary site does not take them too.</w:t>
      </w:r>
    </w:p>
    <w:p>
      <w:pPr>
        <w:pStyle w:val="Compact"/>
        <w:numPr>
          <w:ilvl w:val="0"/>
          <w:numId w:val="1035"/>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56" w:name="federal-systems-1"/>
    <w:p>
      <w:pPr>
        <w:pStyle w:val="Heading4"/>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55">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036"/>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56"/>
    <w:bookmarkEnd w:id="57"/>
    <w:bookmarkStart w:id="58" w:name="system-recovery-and-reconstitution-cp-10"/>
    <w:p>
      <w:pPr>
        <w:pStyle w:val="Heading3"/>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03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03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58"/>
    <w:bookmarkStart w:id="59" w:name="transaction-recovery-cp-102"/>
    <w:p>
      <w:pPr>
        <w:pStyle w:val="Heading3"/>
      </w:pPr>
      <w:r>
        <w:t xml:space="preserve">Transaction recovery (CP-10(2))</w:t>
      </w:r>
    </w:p>
    <w:p>
      <w:pPr>
        <w:pStyle w:val="Compact"/>
        <w:numPr>
          <w:ilvl w:val="0"/>
          <w:numId w:val="1038"/>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59"/>
    <w:bookmarkStart w:id="60" w:name="restore-within-time-period-cp-104"/>
    <w:p>
      <w:pPr>
        <w:pStyle w:val="Heading3"/>
      </w:pPr>
      <w:r>
        <w:t xml:space="preserve">Restore within time period (CP-10(4))</w:t>
      </w:r>
    </w:p>
    <w:p>
      <w:pPr>
        <w:pStyle w:val="Compact"/>
        <w:numPr>
          <w:ilvl w:val="0"/>
          <w:numId w:val="1039"/>
        </w:numPr>
      </w:pPr>
      <w:r>
        <w:t xml:space="preserve">The</w:t>
      </w:r>
      <w:r>
        <w:t xml:space="preserve"> </w:t>
      </w:r>
      <w:r>
        <w:rPr>
          <w:rStyle w:val="Fill-in"/>
        </w:rPr>
        <w:t xml:space="preserve">[System owner]</w:t>
      </w:r>
      <w:r>
        <w:t xml:space="preserve"> </w:t>
      </w:r>
      <w:r>
        <w:t xml:space="preserve">shall provide the capability to restore system components within</w:t>
      </w:r>
      <w:r>
        <w:t xml:space="preserve"> </w:t>
      </w:r>
      <w:r>
        <w:rPr>
          <w:rStyle w:val="Fill-in"/>
        </w:rPr>
        <w:t xml:space="preserve">[Fill in: restoration time period within which to restore system components to a known, operational state. Typical: the recovery time objective set for each component in the contingency plan]</w:t>
      </w:r>
      <w:r>
        <w:t xml:space="preserve"> </w:t>
      </w:r>
      <w:r>
        <w:t xml:space="preserve">from configuration-controlled and integrity-protected information representing a known, operational state for the components. (CP-10(4))</w:t>
      </w:r>
    </w:p>
    <w:bookmarkEnd w:id="60"/>
    <w:bookmarkEnd w:id="61"/>
    <w:bookmarkStart w:id="65" w:name="review-and-update"/>
    <w:p>
      <w:pPr>
        <w:pStyle w:val="Heading2"/>
      </w:pPr>
      <w:r>
        <w:t xml:space="preserve">Review and update</w:t>
      </w:r>
    </w:p>
    <w:p>
      <w:pPr>
        <w:pStyle w:val="Compact"/>
        <w:numPr>
          <w:ilvl w:val="0"/>
          <w:numId w:val="1040"/>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contingency planning policy is reviewed and updated. Typical: annually]</w:t>
      </w:r>
      <w:r>
        <w:t xml:space="preserve"> </w:t>
      </w:r>
      <w:r>
        <w:t xml:space="preserve">and following</w:t>
      </w:r>
      <w:r>
        <w:t xml:space="preserve"> </w:t>
      </w:r>
      <w:r>
        <w:rPr>
          <w:rStyle w:val="Fill-in"/>
        </w:rPr>
        <w:t xml:space="preserve">[Fill in: events that would require the current contingency planning policy to be reviewed and updated. Typical: assessment or audit findings, security incidents or breaches, and changes in applicable laws, executive orders, directives, regulations, policies, standards or guidelines]</w:t>
      </w:r>
      <w:r>
        <w:t xml:space="preserve">. (CP-1c.1)</w:t>
      </w:r>
    </w:p>
    <w:p>
      <w:pPr>
        <w:pStyle w:val="Compact"/>
        <w:numPr>
          <w:ilvl w:val="0"/>
          <w:numId w:val="1040"/>
        </w:numPr>
      </w:pPr>
      <w:r>
        <w:t xml:space="preserve">The</w:t>
      </w:r>
      <w:r>
        <w:t xml:space="preserve"> </w:t>
      </w:r>
      <w:r>
        <w:rPr>
          <w:rStyle w:val="Fill-in"/>
        </w:rPr>
        <w:t xml:space="preserve">[Fill in: an official to manage the contingency planning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contingency planning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(CP-1c.2)</w:t>
      </w:r>
    </w:p>
    <w:bookmarkStart w:id="64"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2">
        <w:r>
          <w:rPr>
            <w:rStyle w:val="Hyperlink"/>
          </w:rPr>
          <w:t xml:space="preserve">44 U.S.C. § 3554</w:t>
        </w:r>
      </w:hyperlink>
      <w:r>
        <w:t xml:space="preserve">, Federal agency responsibilities) and</w:t>
      </w:r>
      <w:r>
        <w:t xml:space="preserve"> </w:t>
      </w:r>
      <w:hyperlink r:id="rId63">
        <w:r>
          <w:rPr>
            <w:rStyle w:val="Hyperlink"/>
          </w:rPr>
          <w:t xml:space="preserve">OMB Circular A-130</w:t>
        </w:r>
      </w:hyperlink>
      <w:r>
        <w:t xml:space="preserve">, Appendix I, Responsibilities for Protecting and Managing Federal Information Resources.</w:t>
      </w:r>
    </w:p>
    <w:p>
      <w:pPr>
        <w:pStyle w:val="Compact"/>
        <w:numPr>
          <w:ilvl w:val="0"/>
          <w:numId w:val="1041"/>
        </w:numPr>
      </w:pPr>
      <w:r>
        <w:t xml:space="preserve">Where the agency’s organization-wide policy sets a value for a parameter in this policy, each system shall use that value or a stricter one. (CP-1a.1(b))</w:t>
      </w:r>
    </w:p>
    <w:bookmarkEnd w:id="64"/>
    <w:bookmarkEnd w:id="65"/>
    <w:bookmarkEnd w:id="6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Contingency Planning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55" Target="https://csrc.nist.gov/projects/fips-140-3-transition-effort" TargetMode="External" /><Relationship Type="http://schemas.openxmlformats.org/officeDocument/2006/relationships/hyperlink" Id="rId29"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30" Target="https://kston83.github.io/nist-guide/templates/reports/contingency-plan-after-action-report/"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44" Target="https://www.cisa.gov/resources-tools/services/telecommunications-service-priority-tsp" TargetMode="External" /><Relationship Type="http://schemas.openxmlformats.org/officeDocument/2006/relationships/hyperlink" Id="rId63"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55" Target="https://csrc.nist.gov/projects/fips-140-3-transition-effort" TargetMode="External" /><Relationship Type="http://schemas.openxmlformats.org/officeDocument/2006/relationships/hyperlink" Id="rId29" Target="https://kston83.github.io/nist-guide/templates/plans/contingency-plan-test-plan/" TargetMode="External" /><Relationship Type="http://schemas.openxmlformats.org/officeDocument/2006/relationships/hyperlink" Id="rId20" Target="https://kston83.github.io/nist-guide/templates/plans/contingency-plan/" TargetMode="External" /><Relationship Type="http://schemas.openxmlformats.org/officeDocument/2006/relationships/hyperlink" Id="rId9" Target="https://kston83.github.io/nist-guide/templates/policies/cp/" TargetMode="External" /><Relationship Type="http://schemas.openxmlformats.org/officeDocument/2006/relationships/hyperlink" Id="rId19" Target="https://kston83.github.io/nist-guide/templates/reports/business-impact-analysis/" TargetMode="External" /><Relationship Type="http://schemas.openxmlformats.org/officeDocument/2006/relationships/hyperlink" Id="rId30" Target="https://kston83.github.io/nist-guide/templates/reports/contingency-plan-after-action-report/" TargetMode="External" /><Relationship Type="http://schemas.openxmlformats.org/officeDocument/2006/relationships/hyperlink" Id="rId62" Target="https://uscode.house.gov/view.xhtml?req=granuleid:USC-prelim-title44-section3554&amp;num=0&amp;edition=prelim" TargetMode="External" /><Relationship Type="http://schemas.openxmlformats.org/officeDocument/2006/relationships/hyperlink" Id="rId44" Target="https://www.cisa.gov/resources-tools/services/telecommunications-service-priority-tsp" TargetMode="External" /><Relationship Type="http://schemas.openxmlformats.org/officeDocument/2006/relationships/hyperlink" Id="rId63"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