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0" w:name="contingency-planning-policy"/>
    <w:p>
      <w:pPr>
        <w:pStyle w:val="Heading1"/>
      </w:pPr>
      <w:r>
        <w:t xml:space="preserve">Contingency Planning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Contingency Planning, and who is accountable for meeting those requirements. (CP-1a.1(a))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(CP-1a.1(a))</w:t>
      </w:r>
    </w:p>
    <w:p>
      <w:pPr>
        <w:pStyle w:val="Compact"/>
        <w:numPr>
          <w:ilvl w:val="0"/>
          <w:numId w:val="1001"/>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manage the development, documentation and dissemination of this policy and its procedures. (CP-1b)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(CP-1a.1(a))</w:t>
      </w:r>
    </w:p>
    <w:p>
      <w:pPr>
        <w:pStyle w:val="Compact"/>
        <w:numPr>
          <w:ilvl w:val="0"/>
          <w:numId w:val="1002"/>
        </w:numPr>
      </w:pPr>
      <w:r>
        <w:t xml:space="preserve">Violations of this policy shall be handled through the organization’s sanctions process. (CP-1a.1(a))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ensure that documented procedures exist to implement this policy and its associated controls. (CP-1a.2)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contingency planning policy is to be disseminated. Typical: everyone within its scope, through the policy library]</w:t>
      </w:r>
      <w:r>
        <w:t xml:space="preserve">. (CP-1a)</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contingency planning procedures are to be disseminated. Typical: the people who carry them out, and the system owners]</w:t>
      </w:r>
      <w:r>
        <w:t xml:space="preserve">. (CP-1a)</w:t>
      </w:r>
    </w:p>
    <w:bookmarkEnd w:id="18"/>
    <w:bookmarkStart w:id="45" w:name="policy-statements"/>
    <w:p>
      <w:pPr>
        <w:pStyle w:val="Heading2"/>
      </w:pPr>
      <w:r>
        <w:t xml:space="preserve">Policy statements</w:t>
      </w:r>
    </w:p>
    <w:bookmarkStart w:id="19" w:name="contingency-plan-cp-2"/>
    <w:p>
      <w:pPr>
        <w:pStyle w:val="Heading3"/>
      </w:pPr>
      <w:r>
        <w:t xml:space="preserve">Contingency plan (CP-2)</w:t>
      </w:r>
    </w:p>
    <w:p>
      <w:pPr>
        <w:pStyle w:val="Compact"/>
        <w:numPr>
          <w:ilvl w:val="0"/>
          <w:numId w:val="1004"/>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004"/>
        </w:numPr>
      </w:pPr>
      <w:r>
        <w:t xml:space="preserve">The contingency plan shall provide recovery objectives, restoration priorities and metrics. (CP-2a.2)</w:t>
      </w:r>
    </w:p>
    <w:p>
      <w:pPr>
        <w:pStyle w:val="Compact"/>
        <w:numPr>
          <w:ilvl w:val="0"/>
          <w:numId w:val="1004"/>
        </w:numPr>
      </w:pPr>
      <w:r>
        <w:t xml:space="preserve">The contingency plan shall set out contingency roles and responsibilities, and the assigned individuals with their contact information. (CP-2a.3)</w:t>
      </w:r>
    </w:p>
    <w:p>
      <w:pPr>
        <w:pStyle w:val="Compact"/>
        <w:numPr>
          <w:ilvl w:val="0"/>
          <w:numId w:val="1004"/>
        </w:numPr>
      </w:pPr>
      <w:r>
        <w:t xml:space="preserve">The contingency plan shall address maintaining essential mission and business functions despite a system disruption, compromise or failure. (CP-2a.4)</w:t>
      </w:r>
    </w:p>
    <w:p>
      <w:pPr>
        <w:pStyle w:val="Compact"/>
        <w:numPr>
          <w:ilvl w:val="0"/>
          <w:numId w:val="1004"/>
        </w:numPr>
      </w:pPr>
      <w:r>
        <w:t xml:space="preserve">The contingency plan shall address eventual, full system restoration without deterioration of the controls originally planned and implemented. (CP-2a.5)</w:t>
      </w:r>
    </w:p>
    <w:p>
      <w:pPr>
        <w:pStyle w:val="Compact"/>
        <w:numPr>
          <w:ilvl w:val="0"/>
          <w:numId w:val="1004"/>
        </w:numPr>
      </w:pPr>
      <w:r>
        <w:t xml:space="preserve">The contingency plan shall address the sharing of contingency information. (CP-2a.6)</w:t>
      </w:r>
    </w:p>
    <w:p>
      <w:pPr>
        <w:pStyle w:val="Compact"/>
        <w:numPr>
          <w:ilvl w:val="0"/>
          <w:numId w:val="1004"/>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004"/>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04"/>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004"/>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004"/>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19"/>
    <w:bookmarkStart w:id="20" w:name="coordinate-with-related-plans-cp-21"/>
    <w:p>
      <w:pPr>
        <w:pStyle w:val="Heading3"/>
      </w:pPr>
      <w:r>
        <w:t xml:space="preserve">Coordinate with related plans (CP-2(1))</w:t>
      </w:r>
    </w:p>
    <w:p>
      <w:pPr>
        <w:pStyle w:val="Compact"/>
        <w:numPr>
          <w:ilvl w:val="0"/>
          <w:numId w:val="1005"/>
        </w:numPr>
      </w:pPr>
      <w:r>
        <w:t xml:space="preserve">The</w:t>
      </w:r>
      <w:r>
        <w:t xml:space="preserve"> </w:t>
      </w:r>
      <w:r>
        <w:rPr>
          <w:rStyle w:val="Fill-in"/>
        </w:rPr>
        <w:t xml:space="preserve">[System owner]</w:t>
      </w:r>
      <w:r>
        <w:t xml:space="preserve"> </w:t>
      </w:r>
      <w:r>
        <w:t xml:space="preserve">shall coordinate contingency plan development with the organizational elements responsible for related plans. (CP-2(1))</w:t>
      </w:r>
    </w:p>
    <w:bookmarkEnd w:id="20"/>
    <w:bookmarkStart w:id="21" w:name="Xd5f4c6b6dd62578725c9c089edf4a44b8969bfe"/>
    <w:p>
      <w:pPr>
        <w:pStyle w:val="Heading3"/>
      </w:pPr>
      <w:r>
        <w:t xml:space="preserve">Resume mission and business functions (CP-2(3))</w:t>
      </w:r>
    </w:p>
    <w:p>
      <w:pPr>
        <w:pStyle w:val="Compact"/>
        <w:numPr>
          <w:ilvl w:val="0"/>
          <w:numId w:val="1006"/>
        </w:numPr>
      </w:pPr>
      <w:r>
        <w:t xml:space="preserve">The</w:t>
      </w:r>
      <w:r>
        <w:t xml:space="preserve"> </w:t>
      </w:r>
      <w:r>
        <w:rPr>
          <w:rStyle w:val="Fill-in"/>
        </w:rPr>
        <w:t xml:space="preserve">[System owner]</w:t>
      </w:r>
      <w:r>
        <w:t xml:space="preserve"> </w:t>
      </w:r>
      <w:r>
        <w:t xml:space="preserve">shall plan for the resumption of</w:t>
      </w:r>
      <w:r>
        <w:t xml:space="preserve"> </w:t>
      </w:r>
      <w:r>
        <w:rPr>
          <w:rStyle w:val="Fill-in"/>
        </w:rPr>
        <w:t xml:space="preserve">[Select one: all; essential. Typical: essential]</w:t>
      </w:r>
      <w:r>
        <w:t xml:space="preserve"> </w:t>
      </w:r>
      <w:r>
        <w:t xml:space="preserve">mission and business functions within</w:t>
      </w:r>
      <w:r>
        <w:t xml:space="preserve"> </w:t>
      </w:r>
      <w:r>
        <w:rPr>
          <w:rStyle w:val="Fill-in"/>
        </w:rPr>
        <w:t xml:space="preserve">[Fill in: the contingency plan activation time period within which to resume mission and business functions. Typical: the recovery time objective set in the contingency plan from the business impact analysis]</w:t>
      </w:r>
      <w:r>
        <w:t xml:space="preserve"> </w:t>
      </w:r>
      <w:r>
        <w:t xml:space="preserve">of contingency plan activation. (CP-2(3))</w:t>
      </w:r>
    </w:p>
    <w:bookmarkEnd w:id="21"/>
    <w:bookmarkStart w:id="22" w:name="identify-critical-assets-cp-28"/>
    <w:p>
      <w:pPr>
        <w:pStyle w:val="Heading3"/>
      </w:pPr>
      <w:r>
        <w:t xml:space="preserve">Identify critical assets (CP-2(8))</w:t>
      </w:r>
    </w:p>
    <w:p>
      <w:pPr>
        <w:pStyle w:val="Compact"/>
        <w:numPr>
          <w:ilvl w:val="0"/>
          <w:numId w:val="1007"/>
        </w:numPr>
      </w:pPr>
      <w:r>
        <w:t xml:space="preserve">The</w:t>
      </w:r>
      <w:r>
        <w:t xml:space="preserve"> </w:t>
      </w:r>
      <w:r>
        <w:rPr>
          <w:rStyle w:val="Fill-in"/>
        </w:rPr>
        <w:t xml:space="preserve">[System owner]</w:t>
      </w:r>
      <w:r>
        <w:t xml:space="preserve"> </w:t>
      </w:r>
      <w:r>
        <w:t xml:space="preserve">shall identify the critical system assets that support</w:t>
      </w:r>
      <w:r>
        <w:t xml:space="preserve"> </w:t>
      </w:r>
      <w:r>
        <w:rPr>
          <w:rStyle w:val="Fill-in"/>
        </w:rPr>
        <w:t xml:space="preserve">[Select one: all; essential. Typical: essential]</w:t>
      </w:r>
      <w:r>
        <w:t xml:space="preserve"> </w:t>
      </w:r>
      <w:r>
        <w:t xml:space="preserve">mission and business functions. (CP-2(8))</w:t>
      </w:r>
    </w:p>
    <w:bookmarkEnd w:id="22"/>
    <w:bookmarkStart w:id="23" w:name="contingency-training-cp-3"/>
    <w:p>
      <w:pPr>
        <w:pStyle w:val="Heading3"/>
      </w:pPr>
      <w:r>
        <w:t xml:space="preserve">Contingency training (CP-3)</w:t>
      </w:r>
    </w:p>
    <w:p>
      <w:pPr>
        <w:pStyle w:val="Compact"/>
        <w:numPr>
          <w:ilvl w:val="0"/>
          <w:numId w:val="1008"/>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008"/>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008"/>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008"/>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23"/>
    <w:bookmarkStart w:id="24" w:name="contingency-plan-testing-cp-4"/>
    <w:p>
      <w:pPr>
        <w:pStyle w:val="Heading3"/>
      </w:pPr>
      <w:r>
        <w:t xml:space="preserve">Contingency plan testing (CP-4)</w:t>
      </w:r>
    </w:p>
    <w:p>
      <w:pPr>
        <w:pStyle w:val="Compact"/>
        <w:numPr>
          <w:ilvl w:val="0"/>
          <w:numId w:val="1009"/>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009"/>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009"/>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24"/>
    <w:bookmarkStart w:id="25" w:name="coordinate-with-related-plans-cp-41"/>
    <w:p>
      <w:pPr>
        <w:pStyle w:val="Heading3"/>
      </w:pPr>
      <w:r>
        <w:t xml:space="preserve">Coordinate with related plans (CP-4(1))</w:t>
      </w:r>
    </w:p>
    <w:p>
      <w:pPr>
        <w:pStyle w:val="Compact"/>
        <w:numPr>
          <w:ilvl w:val="0"/>
          <w:numId w:val="1010"/>
        </w:numPr>
      </w:pPr>
      <w:r>
        <w:t xml:space="preserve">The</w:t>
      </w:r>
      <w:r>
        <w:t xml:space="preserve"> </w:t>
      </w:r>
      <w:r>
        <w:rPr>
          <w:rStyle w:val="Fill-in"/>
        </w:rPr>
        <w:t xml:space="preserve">[System owner]</w:t>
      </w:r>
      <w:r>
        <w:t xml:space="preserve"> </w:t>
      </w:r>
      <w:r>
        <w:t xml:space="preserve">shall coordinate contingency plan testing with the organizational elements responsible for related plans. (CP-4(1))</w:t>
      </w:r>
    </w:p>
    <w:bookmarkEnd w:id="25"/>
    <w:bookmarkStart w:id="26" w:name="alternate-storage-site-cp-6"/>
    <w:p>
      <w:pPr>
        <w:pStyle w:val="Heading3"/>
      </w:pPr>
      <w:r>
        <w:t xml:space="preserve">Alternate storage site (CP-6)</w:t>
      </w:r>
    </w:p>
    <w:p>
      <w:pPr>
        <w:pStyle w:val="Compact"/>
        <w:numPr>
          <w:ilvl w:val="0"/>
          <w:numId w:val="1011"/>
        </w:numPr>
      </w:pPr>
      <w:r>
        <w:t xml:space="preserve">The</w:t>
      </w:r>
      <w:r>
        <w:t xml:space="preserve"> </w:t>
      </w:r>
      <w:r>
        <w:rPr>
          <w:rStyle w:val="Fill-in"/>
        </w:rPr>
        <w:t xml:space="preserve">[System owner]</w:t>
      </w:r>
      <w:r>
        <w:t xml:space="preserve"> </w:t>
      </w:r>
      <w:r>
        <w:t xml:space="preserve">shall establish an alternate storage site, including the agreements needed to permit the storage and retrieval of system backup information. (CP-6a)</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alternate storage site provides controls equivalent to those of the primary site. (CP-6b)</w:t>
      </w:r>
    </w:p>
    <w:bookmarkEnd w:id="26"/>
    <w:bookmarkStart w:id="27" w:name="separation-from-primary-site-cp-61"/>
    <w:p>
      <w:pPr>
        <w:pStyle w:val="Heading3"/>
      </w:pPr>
      <w:r>
        <w:t xml:space="preserve">Separation from primary site (CP-6(1))</w:t>
      </w:r>
    </w:p>
    <w:p>
      <w:pPr>
        <w:pStyle w:val="Compact"/>
        <w:numPr>
          <w:ilvl w:val="0"/>
          <w:numId w:val="1012"/>
        </w:numPr>
      </w:pPr>
      <w:r>
        <w:t xml:space="preserve">The</w:t>
      </w:r>
      <w:r>
        <w:t xml:space="preserve"> </w:t>
      </w:r>
      <w:r>
        <w:rPr>
          <w:rStyle w:val="Fill-in"/>
        </w:rPr>
        <w:t xml:space="preserve">[System owner]</w:t>
      </w:r>
      <w:r>
        <w:t xml:space="preserve"> </w:t>
      </w:r>
      <w:r>
        <w:t xml:space="preserve">shall identify an alternate storage site sufficiently separated from the primary storage site to reduce susceptibility to the same threats. (CP-6(1))</w:t>
      </w:r>
    </w:p>
    <w:bookmarkEnd w:id="27"/>
    <w:bookmarkStart w:id="28" w:name="accessibility-cp-63"/>
    <w:p>
      <w:pPr>
        <w:pStyle w:val="Heading3"/>
      </w:pPr>
      <w:r>
        <w:t xml:space="preserve">Accessibility (CP-6(3))</w:t>
      </w:r>
    </w:p>
    <w:p>
      <w:pPr>
        <w:pStyle w:val="Compact"/>
        <w:numPr>
          <w:ilvl w:val="0"/>
          <w:numId w:val="1013"/>
        </w:numPr>
      </w:pPr>
      <w:r>
        <w:t xml:space="preserve">The</w:t>
      </w:r>
      <w:r>
        <w:t xml:space="preserve"> </w:t>
      </w:r>
      <w:r>
        <w:rPr>
          <w:rStyle w:val="Fill-in"/>
        </w:rPr>
        <w:t xml:space="preserve">[System owner]</w:t>
      </w:r>
      <w:r>
        <w:t xml:space="preserve"> </w:t>
      </w:r>
      <w:r>
        <w:t xml:space="preserve">shall identify potential problems with access to the alternate storage site in an area-wide disruption or disaster, and set out explicit mitigation actions. (CP-6(3))</w:t>
      </w:r>
    </w:p>
    <w:bookmarkEnd w:id="28"/>
    <w:bookmarkStart w:id="29" w:name="alternate-processing-site-cp-7"/>
    <w:p>
      <w:pPr>
        <w:pStyle w:val="Heading3"/>
      </w:pPr>
      <w:r>
        <w:t xml:space="preserve">Alternate processing site (CP-7)</w:t>
      </w:r>
    </w:p>
    <w:p>
      <w:pPr>
        <w:pStyle w:val="Compact"/>
        <w:numPr>
          <w:ilvl w:val="0"/>
          <w:numId w:val="1014"/>
        </w:numPr>
      </w:pPr>
      <w:r>
        <w:t xml:space="preserve">The</w:t>
      </w:r>
      <w:r>
        <w:t xml:space="preserve"> </w:t>
      </w:r>
      <w:r>
        <w:rPr>
          <w:rStyle w:val="Fill-in"/>
        </w:rPr>
        <w:t xml:space="preserve">[System owner]</w:t>
      </w:r>
      <w:r>
        <w:t xml:space="preserve"> </w:t>
      </w:r>
      <w:r>
        <w:t xml:space="preserve">shall establish an alternate processing site, including the agreements needed to permit the transfer and resumption of</w:t>
      </w:r>
      <w:r>
        <w:t xml:space="preserve"> </w:t>
      </w:r>
      <w:r>
        <w:rPr>
          <w:rStyle w:val="Fill-in"/>
        </w:rPr>
        <w:t xml:space="preserve">[Fill in: system operations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consistent with recovery time and recovery point objectives. Typical: the recovery time objective set in the contingency plan from the business impact analysis]</w:t>
      </w:r>
      <w:r>
        <w:t xml:space="preserve"> </w:t>
      </w:r>
      <w:r>
        <w:t xml:space="preserve">when the primary processing capabilities are unavailable. (CP-7a)</w:t>
      </w:r>
    </w:p>
    <w:p>
      <w:pPr>
        <w:pStyle w:val="Compact"/>
        <w:numPr>
          <w:ilvl w:val="0"/>
          <w:numId w:val="1014"/>
        </w:numPr>
      </w:pPr>
      <w:r>
        <w:t xml:space="preserve">The</w:t>
      </w:r>
      <w:r>
        <w:t xml:space="preserve"> </w:t>
      </w:r>
      <w:r>
        <w:rPr>
          <w:rStyle w:val="Fill-in"/>
        </w:rPr>
        <w:t xml:space="preserve">[System owner]</w:t>
      </w:r>
      <w:r>
        <w:t xml:space="preserve"> </w:t>
      </w:r>
      <w:r>
        <w:t xml:space="preserve">shall make available at the alternate processing site the equipment and supplies needed to transfer and resume operations, or put contracts in place to deliver them to the site within that time period. (CP-7b)</w:t>
      </w:r>
    </w:p>
    <w:p>
      <w:pPr>
        <w:pStyle w:val="Compact"/>
        <w:numPr>
          <w:ilvl w:val="0"/>
          <w:numId w:val="1014"/>
        </w:numPr>
      </w:pPr>
      <w:r>
        <w:t xml:space="preserve">The</w:t>
      </w:r>
      <w:r>
        <w:t xml:space="preserve"> </w:t>
      </w:r>
      <w:r>
        <w:rPr>
          <w:rStyle w:val="Fill-in"/>
        </w:rPr>
        <w:t xml:space="preserve">[System owner]</w:t>
      </w:r>
      <w:r>
        <w:t xml:space="preserve"> </w:t>
      </w:r>
      <w:r>
        <w:t xml:space="preserve">shall provide controls at the alternate processing site equivalent to those at the primary site. (CP-7c)</w:t>
      </w:r>
    </w:p>
    <w:bookmarkEnd w:id="29"/>
    <w:bookmarkStart w:id="30" w:name="separation-from-primary-site-cp-71"/>
    <w:p>
      <w:pPr>
        <w:pStyle w:val="Heading3"/>
      </w:pPr>
      <w:r>
        <w:t xml:space="preserve">Separation from primary site (CP-7(1))</w:t>
      </w:r>
    </w:p>
    <w:p>
      <w:pPr>
        <w:pStyle w:val="Compact"/>
        <w:numPr>
          <w:ilvl w:val="0"/>
          <w:numId w:val="1015"/>
        </w:numPr>
      </w:pPr>
      <w:r>
        <w:t xml:space="preserve">The</w:t>
      </w:r>
      <w:r>
        <w:t xml:space="preserve"> </w:t>
      </w:r>
      <w:r>
        <w:rPr>
          <w:rStyle w:val="Fill-in"/>
        </w:rPr>
        <w:t xml:space="preserve">[System owner]</w:t>
      </w:r>
      <w:r>
        <w:t xml:space="preserve"> </w:t>
      </w:r>
      <w:r>
        <w:t xml:space="preserve">shall identify an alternate processing site sufficiently separated from the primary processing site to reduce susceptibility to the same threats. (CP-7(1))</w:t>
      </w:r>
    </w:p>
    <w:bookmarkEnd w:id="30"/>
    <w:bookmarkStart w:id="31" w:name="accessibility-cp-72"/>
    <w:p>
      <w:pPr>
        <w:pStyle w:val="Heading3"/>
      </w:pPr>
      <w:r>
        <w:t xml:space="preserve">Accessibility (CP-7(2))</w:t>
      </w:r>
    </w:p>
    <w:p>
      <w:pPr>
        <w:pStyle w:val="Compact"/>
        <w:numPr>
          <w:ilvl w:val="0"/>
          <w:numId w:val="1016"/>
        </w:numPr>
      </w:pPr>
      <w:r>
        <w:t xml:space="preserve">The</w:t>
      </w:r>
      <w:r>
        <w:t xml:space="preserve"> </w:t>
      </w:r>
      <w:r>
        <w:rPr>
          <w:rStyle w:val="Fill-in"/>
        </w:rPr>
        <w:t xml:space="preserve">[System owner]</w:t>
      </w:r>
      <w:r>
        <w:t xml:space="preserve"> </w:t>
      </w:r>
      <w:r>
        <w:t xml:space="preserve">shall identify potential problems with access to the alternate processing site in an area-wide disruption or disaster, and set out explicit mitigation actions. (CP-7(2))</w:t>
      </w:r>
    </w:p>
    <w:bookmarkEnd w:id="31"/>
    <w:bookmarkStart w:id="32" w:name="priority-of-service-cp-73"/>
    <w:p>
      <w:pPr>
        <w:pStyle w:val="Heading3"/>
      </w:pPr>
      <w:r>
        <w:t xml:space="preserve">Priority of service (CP-7(3))</w:t>
      </w:r>
    </w:p>
    <w:p>
      <w:pPr>
        <w:pStyle w:val="Compact"/>
        <w:numPr>
          <w:ilvl w:val="0"/>
          <w:numId w:val="1017"/>
        </w:numPr>
      </w:pPr>
      <w:r>
        <w:t xml:space="preserve">The</w:t>
      </w:r>
      <w:r>
        <w:t xml:space="preserve"> </w:t>
      </w:r>
      <w:r>
        <w:rPr>
          <w:rStyle w:val="Fill-in"/>
        </w:rPr>
        <w:t xml:space="preserve">[System owner]</w:t>
      </w:r>
      <w:r>
        <w:t xml:space="preserve"> </w:t>
      </w:r>
      <w:r>
        <w:t xml:space="preserve">shall ensure alternate processing site agreements contain priority-of-service provisions in accordance with the system’s availability requirements, including recovery time objectives. (CP-7(3))</w:t>
      </w:r>
    </w:p>
    <w:bookmarkEnd w:id="32"/>
    <w:bookmarkStart w:id="33" w:name="telecommunications-services-cp-8"/>
    <w:p>
      <w:pPr>
        <w:pStyle w:val="Heading3"/>
      </w:pPr>
      <w:r>
        <w:t xml:space="preserve">Telecommunications services (CP-8)</w:t>
      </w:r>
    </w:p>
    <w:p>
      <w:pPr>
        <w:pStyle w:val="Compact"/>
        <w:numPr>
          <w:ilvl w:val="0"/>
          <w:numId w:val="1018"/>
        </w:numPr>
      </w:pPr>
      <w:r>
        <w:t xml:space="preserve">The</w:t>
      </w:r>
      <w:r>
        <w:t xml:space="preserve"> </w:t>
      </w:r>
      <w:r>
        <w:rPr>
          <w:rStyle w:val="Fill-in"/>
        </w:rPr>
        <w:t xml:space="preserve">[System owner]</w:t>
      </w:r>
      <w:r>
        <w:t xml:space="preserve"> </w:t>
      </w:r>
      <w:r>
        <w:t xml:space="preserve">shall establish alternate telecommunications services, including the agreements needed to permit the resumption of</w:t>
      </w:r>
      <w:r>
        <w:t xml:space="preserve"> </w:t>
      </w:r>
      <w:r>
        <w:rPr>
          <w:rStyle w:val="Fill-in"/>
        </w:rPr>
        <w:t xml:space="preserve">[Fill in: system operations to be resumed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within which to resume essential mission and business functions when the primary telecommunications capabilities are unavailable. Typical: the recovery time objective set in the contingency plan from the business impact analysis]</w:t>
      </w:r>
      <w:r>
        <w:t xml:space="preserve"> </w:t>
      </w:r>
      <w:r>
        <w:t xml:space="preserve">when the primary telecommunications capabilities are unavailable at the primary or alternate processing or storage sites. (CP-8)</w:t>
      </w:r>
    </w:p>
    <w:bookmarkEnd w:id="33"/>
    <w:bookmarkStart w:id="36" w:name="priority-of-service-provisions-cp-81"/>
    <w:p>
      <w:pPr>
        <w:pStyle w:val="Heading3"/>
      </w:pPr>
      <w:r>
        <w:t xml:space="preserve">Priority of service provisions (CP-8(1))</w:t>
      </w:r>
    </w:p>
    <w:p>
      <w:pPr>
        <w:pStyle w:val="Compact"/>
        <w:numPr>
          <w:ilvl w:val="0"/>
          <w:numId w:val="1019"/>
        </w:numPr>
      </w:pPr>
      <w:r>
        <w:t xml:space="preserve">The</w:t>
      </w:r>
      <w:r>
        <w:t xml:space="preserve"> </w:t>
      </w:r>
      <w:r>
        <w:rPr>
          <w:rStyle w:val="Fill-in"/>
        </w:rPr>
        <w:t xml:space="preserve">[System owner]</w:t>
      </w:r>
      <w:r>
        <w:t xml:space="preserve"> </w:t>
      </w:r>
      <w:r>
        <w:t xml:space="preserve">shall ensure primary and alternate telecommunications service agreements contain priority-of-service provisions in accordance with the system’s availability requirements, including recovery time objectives. (CP-8(1)(a))</w:t>
      </w:r>
    </w:p>
    <w:p>
      <w:pPr>
        <w:pStyle w:val="Compact"/>
        <w:numPr>
          <w:ilvl w:val="0"/>
          <w:numId w:val="1019"/>
        </w:numPr>
      </w:pPr>
      <w:r>
        <w:t xml:space="preserve">Where the primary or alternate telecommunications services are provided by a common carrier, the</w:t>
      </w:r>
      <w:r>
        <w:t xml:space="preserve"> </w:t>
      </w:r>
      <w:r>
        <w:rPr>
          <w:rStyle w:val="Fill-in"/>
        </w:rPr>
        <w:t xml:space="preserve">[System owner]</w:t>
      </w:r>
      <w:r>
        <w:t xml:space="preserve"> </w:t>
      </w:r>
      <w:r>
        <w:t xml:space="preserve">shall request Telecommunications Service Priority for all telecommunications services used for national security emergency preparedness. (CP-8(1)(b))</w:t>
      </w:r>
    </w:p>
    <w:bookmarkStart w:id="35" w:name="federal-systems"/>
    <w:p>
      <w:pPr>
        <w:pStyle w:val="Heading4"/>
      </w:pPr>
      <w:r>
        <w:t xml:space="preserve">Federal systems</w:t>
      </w:r>
    </w:p>
    <w:p>
      <w:pPr>
        <w:pStyle w:val="FirstParagraph"/>
      </w:pPr>
      <w:hyperlink r:id="rId34">
        <w:r>
          <w:rPr>
            <w:rStyle w:val="Hyperlink"/>
          </w:rPr>
          <w:t xml:space="preserve">Telecommunications Service Priority</w:t>
        </w:r>
      </w:hyperlink>
      <w:r>
        <w:t xml:space="preserve"> </w:t>
      </w:r>
      <w:r>
        <w:t xml:space="preserve">is an FCC program, managed by CISA, which requires service providers to prioritize provisioning and restoration of voice and data circuits for organizations with national security and emergency preparedness missions (checked September 2026). CISA’s priority services are open to all levels of government and to organizations in the critical infrastructure sectors.</w:t>
      </w:r>
    </w:p>
    <w:p>
      <w:pPr>
        <w:pStyle w:val="Compact"/>
        <w:numPr>
          <w:ilvl w:val="0"/>
          <w:numId w:val="1020"/>
        </w:numPr>
      </w:pPr>
      <w:r>
        <w:t xml:space="preserve">The</w:t>
      </w:r>
      <w:r>
        <w:t xml:space="preserve"> </w:t>
      </w:r>
      <w:r>
        <w:rPr>
          <w:rStyle w:val="Fill-in"/>
        </w:rPr>
        <w:t xml:space="preserve">[System owner]</w:t>
      </w:r>
      <w:r>
        <w:t xml:space="preserve"> </w:t>
      </w:r>
      <w:r>
        <w:t xml:space="preserve">shall register the system’s national security and emergency preparedness circuits in the Telecommunications Service Priority program. (CP-8(1)(b))</w:t>
      </w:r>
    </w:p>
    <w:bookmarkEnd w:id="35"/>
    <w:bookmarkEnd w:id="36"/>
    <w:bookmarkStart w:id="37" w:name="single-points-of-failure-cp-82"/>
    <w:p>
      <w:pPr>
        <w:pStyle w:val="Heading3"/>
      </w:pPr>
      <w:r>
        <w:t xml:space="preserve">Single points of failure (CP-8(2))</w:t>
      </w:r>
    </w:p>
    <w:p>
      <w:pPr>
        <w:pStyle w:val="Compact"/>
        <w:numPr>
          <w:ilvl w:val="0"/>
          <w:numId w:val="1021"/>
        </w:numPr>
      </w:pPr>
      <w:r>
        <w:t xml:space="preserve">The</w:t>
      </w:r>
      <w:r>
        <w:t xml:space="preserve"> </w:t>
      </w:r>
      <w:r>
        <w:rPr>
          <w:rStyle w:val="Fill-in"/>
        </w:rPr>
        <w:t xml:space="preserve">[System owner]</w:t>
      </w:r>
      <w:r>
        <w:t xml:space="preserve"> </w:t>
      </w:r>
      <w:r>
        <w:t xml:space="preserve">shall obtain alternate telecommunications services that reduce the likelihood of sharing a single point of failure with the primary telecommunications services. (CP-8(2))</w:t>
      </w:r>
    </w:p>
    <w:bookmarkEnd w:id="37"/>
    <w:bookmarkStart w:id="38" w:name="system-backup-cp-9"/>
    <w:p>
      <w:pPr>
        <w:pStyle w:val="Heading3"/>
      </w:pPr>
      <w:r>
        <w:t xml:space="preserve">System backup (CP-9)</w:t>
      </w:r>
    </w:p>
    <w:p>
      <w:pPr>
        <w:pStyle w:val="Compact"/>
        <w:numPr>
          <w:ilvl w:val="0"/>
          <w:numId w:val="1022"/>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022"/>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022"/>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022"/>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38"/>
    <w:bookmarkStart w:id="39" w:name="Xe709707d39fcebdbb5136b5fc668410c572157b"/>
    <w:p>
      <w:pPr>
        <w:pStyle w:val="Heading3"/>
      </w:pPr>
      <w:r>
        <w:t xml:space="preserve">Testing for reliability and integrity (CP-9(1))</w:t>
      </w:r>
    </w:p>
    <w:p>
      <w:pPr>
        <w:pStyle w:val="Compact"/>
        <w:numPr>
          <w:ilvl w:val="0"/>
          <w:numId w:val="1023"/>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media reliability. Typical: quarterly]</w:t>
      </w:r>
      <w:r>
        <w:t xml:space="preserve"> </w:t>
      </w:r>
      <w:r>
        <w:t xml:space="preserve">to verify media reliability. (CP-9(1))</w:t>
      </w:r>
    </w:p>
    <w:p>
      <w:pPr>
        <w:pStyle w:val="Compact"/>
        <w:numPr>
          <w:ilvl w:val="0"/>
          <w:numId w:val="1023"/>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information integrity. Typical: quarterly]</w:t>
      </w:r>
      <w:r>
        <w:t xml:space="preserve"> </w:t>
      </w:r>
      <w:r>
        <w:t xml:space="preserve">to verify information integrity. (CP-9(1))</w:t>
      </w:r>
    </w:p>
    <w:bookmarkEnd w:id="39"/>
    <w:bookmarkStart w:id="42" w:name="cryptographic-protection-cp-98"/>
    <w:p>
      <w:pPr>
        <w:pStyle w:val="Heading3"/>
      </w:pPr>
      <w:r>
        <w:t xml:space="preserve">Cryptographic protection (CP-9(8))</w:t>
      </w:r>
    </w:p>
    <w:p>
      <w:pPr>
        <w:pStyle w:val="Compact"/>
        <w:numPr>
          <w:ilvl w:val="0"/>
          <w:numId w:val="1024"/>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backup information to protect against unauthorized disclosure and modification. Typical: all backup information]</w:t>
      </w:r>
      <w:r>
        <w:t xml:space="preserve">. (CP-9(8))</w:t>
      </w:r>
    </w:p>
    <w:bookmarkStart w:id="41" w:name="federal-systems-1"/>
    <w:p>
      <w:pPr>
        <w:pStyle w:val="Heading4"/>
      </w:pPr>
      <w:r>
        <w:t xml:space="preserve">Federal systems</w:t>
      </w:r>
    </w:p>
    <w:p>
      <w:pPr>
        <w:pStyle w:val="FirstParagraph"/>
      </w:pPr>
      <w:r>
        <w:t xml:space="preserve">Federal systems use cryptographic modules validated by the NIST Cryptographic Module Validation Program, as SC-13 requires. The CMVP’s</w:t>
      </w:r>
      <w:r>
        <w:t xml:space="preserve"> </w:t>
      </w:r>
      <w:hyperlink r:id="rId40">
        <w:r>
          <w:rPr>
            <w:rStyle w:val="Hyperlink"/>
          </w:rPr>
          <w:t xml:space="preserve">FIPS 140-3 transition page</w:t>
        </w:r>
      </w:hyperlink>
      <w:r>
        <w:t xml:space="preserve"> </w:t>
      </w:r>
      <w:r>
        <w:t xml:space="preserve">sets the schedule for moving FIPS 140-2 validations to the Historical List in September 2026, and says that modules on the Historical List remain supported for existing systems (as of September 2026).</w:t>
      </w:r>
    </w:p>
    <w:p>
      <w:pPr>
        <w:pStyle w:val="Compact"/>
        <w:numPr>
          <w:ilvl w:val="0"/>
          <w:numId w:val="1025"/>
        </w:numPr>
      </w:pPr>
      <w:r>
        <w:t xml:space="preserve">The</w:t>
      </w:r>
      <w:r>
        <w:t xml:space="preserve"> </w:t>
      </w:r>
      <w:r>
        <w:rPr>
          <w:rStyle w:val="Fill-in"/>
        </w:rPr>
        <w:t xml:space="preserve">[System owner]</w:t>
      </w:r>
      <w:r>
        <w:t xml:space="preserve"> </w:t>
      </w:r>
      <w:r>
        <w:t xml:space="preserve">shall encrypt backup information with CMVP-validated cryptographic modules. (CP-9(8))</w:t>
      </w:r>
    </w:p>
    <w:bookmarkEnd w:id="41"/>
    <w:bookmarkEnd w:id="42"/>
    <w:bookmarkStart w:id="43" w:name="system-recovery-and-reconstitution-cp-10"/>
    <w:p>
      <w:pPr>
        <w:pStyle w:val="Heading3"/>
      </w:pPr>
      <w:r>
        <w:t xml:space="preserve">System recovery and reconstitution (CP-10)</w:t>
      </w:r>
    </w:p>
    <w:p>
      <w:pPr>
        <w:pStyle w:val="Compact"/>
        <w:numPr>
          <w:ilvl w:val="0"/>
          <w:numId w:val="1026"/>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026"/>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43"/>
    <w:bookmarkStart w:id="44" w:name="transaction-recovery-cp-102"/>
    <w:p>
      <w:pPr>
        <w:pStyle w:val="Heading3"/>
      </w:pPr>
      <w:r>
        <w:t xml:space="preserve">Transaction recovery (CP-10(2))</w:t>
      </w:r>
    </w:p>
    <w:p>
      <w:pPr>
        <w:pStyle w:val="Compact"/>
        <w:numPr>
          <w:ilvl w:val="0"/>
          <w:numId w:val="1027"/>
        </w:numPr>
      </w:pPr>
      <w:r>
        <w:t xml:space="preserve">The</w:t>
      </w:r>
      <w:r>
        <w:t xml:space="preserve"> </w:t>
      </w:r>
      <w:r>
        <w:rPr>
          <w:rStyle w:val="Fill-in"/>
        </w:rPr>
        <w:t xml:space="preserve">[System owner]</w:t>
      </w:r>
      <w:r>
        <w:t xml:space="preserve"> </w:t>
      </w:r>
      <w:r>
        <w:t xml:space="preserve">shall implement transaction recovery for a transaction-based system. (CP-10(2))</w:t>
      </w:r>
    </w:p>
    <w:bookmarkEnd w:id="44"/>
    <w:bookmarkEnd w:id="45"/>
    <w:bookmarkStart w:id="49" w:name="review-and-update"/>
    <w:p>
      <w:pPr>
        <w:pStyle w:val="Heading2"/>
      </w:pPr>
      <w:r>
        <w:t xml:space="preserve">Review and update</w:t>
      </w:r>
    </w:p>
    <w:p>
      <w:pPr>
        <w:pStyle w:val="Compact"/>
        <w:numPr>
          <w:ilvl w:val="0"/>
          <w:numId w:val="1028"/>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contingency planning policy is reviewed and updated. Typical: annually]</w:t>
      </w:r>
      <w:r>
        <w:t xml:space="preserve"> </w:t>
      </w:r>
      <w:r>
        <w:t xml:space="preserve">and following</w:t>
      </w:r>
      <w:r>
        <w:t xml:space="preserve"> </w:t>
      </w:r>
      <w:r>
        <w:rPr>
          <w:rStyle w:val="Fill-in"/>
        </w:rPr>
        <w:t xml:space="preserve">[Fill in: events that would require the current contingency planning policy to be reviewed and updated. Typical: assessment or audit findings, security incidents or breaches, and changes in applicable laws, executive orders, directives, regulations, policies, standards or guidelines]</w:t>
      </w:r>
      <w:r>
        <w:t xml:space="preserve">. (CP-1c.1)</w:t>
      </w:r>
    </w:p>
    <w:p>
      <w:pPr>
        <w:pStyle w:val="Compact"/>
        <w:numPr>
          <w:ilvl w:val="0"/>
          <w:numId w:val="1028"/>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contingency planning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(CP-1c.2)</w:t>
      </w:r>
    </w:p>
    <w:bookmarkStart w:id="48"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6">
        <w:r>
          <w:rPr>
            <w:rStyle w:val="Hyperlink"/>
          </w:rPr>
          <w:t xml:space="preserve">44 U.S.C. § 3554</w:t>
        </w:r>
      </w:hyperlink>
      <w:r>
        <w:t xml:space="preserve">, Federal agency responsibilities) and</w:t>
      </w:r>
      <w:r>
        <w:t xml:space="preserve"> </w:t>
      </w:r>
      <w:hyperlink r:id="rId47">
        <w:r>
          <w:rPr>
            <w:rStyle w:val="Hyperlink"/>
          </w:rPr>
          <w:t xml:space="preserve">OMB Circular A-130</w:t>
        </w:r>
      </w:hyperlink>
      <w:r>
        <w:t xml:space="preserve">, Appendix I, Responsibilities for Protecting and Managing Federal Information Resources.</w:t>
      </w:r>
    </w:p>
    <w:p>
      <w:pPr>
        <w:pStyle w:val="Compact"/>
        <w:numPr>
          <w:ilvl w:val="0"/>
          <w:numId w:val="1029"/>
        </w:numPr>
      </w:pPr>
      <w:r>
        <w:t xml:space="preserve">Where the agency’s organization-wide policy sets a value for a parameter in this policy, each system shall use that value or a stricter one. (CP-1a.1(b))</w:t>
      </w:r>
    </w:p>
    <w:bookmarkEnd w:id="48"/>
    <w:bookmarkEnd w:id="49"/>
    <w:bookmarkEnd w:id="5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Contingency Planning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0" Target="https://csrc.nist.gov/projects/fips-140-3-transition-effort" TargetMode="External" /><Relationship Type="http://schemas.openxmlformats.org/officeDocument/2006/relationships/hyperlink" Id="rId9" Target="https://kston83.github.io/nist-guide/templates/policies/cp/"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34" Target="https://www.cisa.gov/resources-tools/services/telecommunications-service-priority-tsp" TargetMode="External" /><Relationship Type="http://schemas.openxmlformats.org/officeDocument/2006/relationships/hyperlink" Id="rId4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0" Target="https://csrc.nist.gov/projects/fips-140-3-transition-effort" TargetMode="External" /><Relationship Type="http://schemas.openxmlformats.org/officeDocument/2006/relationships/hyperlink" Id="rId9" Target="https://kston83.github.io/nist-guide/templates/policies/cp/"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34" Target="https://www.cisa.gov/resources-tools/services/telecommunications-service-priority-tsp" TargetMode="External" /><Relationship Type="http://schemas.openxmlformats.org/officeDocument/2006/relationships/hyperlink" Id="rId4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