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3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IA-1,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IA-1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48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Guidance"/>
      </w:pP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makes the IA-2 statements measurable: the assurance level for each group of users, the approved authenticators, which are required for privileged and non-privileged access, and a part where each system records how its users authenticate.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20"/>
    <w:bookmarkStart w:id="21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1"/>
    <w:bookmarkStart w:id="22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2"/>
    <w:bookmarkStart w:id="23" w:name="X33acf5099860041e46d0f8f7fd4518f580d21a8"/>
    <w:p>
      <w:pPr>
        <w:pStyle w:val="Heading3"/>
      </w:pPr>
      <w:r>
        <w:t xml:space="preserve">Individual authentication with group authentication (IA-2(5))</w:t>
      </w:r>
    </w:p>
    <w:p>
      <w:pPr>
        <w:pStyle w:val="Compact"/>
        <w:numPr>
          <w:ilvl w:val="0"/>
          <w:numId w:val="1007"/>
        </w:numPr>
      </w:pPr>
      <w:r>
        <w:t xml:space="preserve">Where shared accounts or authenticators are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 users to authenticate individually before granting access to the shared account or resource. (IA-2(5))</w:t>
      </w:r>
    </w:p>
    <w:bookmarkEnd w:id="23"/>
    <w:bookmarkStart w:id="24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4"/>
    <w:bookmarkStart w:id="27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Guidance"/>
      </w:pPr>
      <w:r>
        <w:t xml:space="preserve">Personal Identity Verification (PIV) is the U.S. federal smart card credential. An organization outside the federal government meets this enhancement where it relies on PIV or PIV-interoperable credentials; if it uses none, record the enhancement as not applicable in the system security plan with that reason.</w:t>
      </w:r>
    </w:p>
    <w:p>
      <w:pPr>
        <w:pStyle w:val="Compact"/>
        <w:numPr>
          <w:ilvl w:val="0"/>
          <w:numId w:val="1009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6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5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6"/>
    <w:bookmarkEnd w:id="27"/>
    <w:bookmarkStart w:id="28" w:name="X9592b99f1d56aac523ce860d6c2f7bce370e5f7"/>
    <w:p>
      <w:pPr>
        <w:pStyle w:val="Heading3"/>
      </w:pPr>
      <w:r>
        <w:t xml:space="preserve">Device identification and authentication (IA-3)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</w:t>
      </w:r>
      <w:r>
        <w:t xml:space="preserve"> </w:t>
      </w:r>
      <w:r>
        <w:rPr>
          <w:rStyle w:val="Fill-in"/>
        </w:rPr>
        <w:t xml:space="preserve">[Fill in: devices and/or types of devices to be uniquely identified and authenticated before establishing a connection. Typical: all organization-managed endpoints, servers and network devices]</w:t>
      </w:r>
      <w:r>
        <w:t xml:space="preserve"> </w:t>
      </w:r>
      <w:r>
        <w:t xml:space="preserve">before establishing a</w:t>
      </w:r>
      <w:r>
        <w:t xml:space="preserve"> </w:t>
      </w:r>
      <w:r>
        <w:rPr>
          <w:rStyle w:val="Fill-in"/>
        </w:rPr>
        <w:t xml:space="preserve">[Select one or more: local; remote; network. Typical: remote and network]</w:t>
      </w:r>
      <w:r>
        <w:t xml:space="preserve"> </w:t>
      </w:r>
      <w:r>
        <w:t xml:space="preserve">connection. (IA-3)</w:t>
      </w:r>
    </w:p>
    <w:bookmarkEnd w:id="28"/>
    <w:bookmarkStart w:id="29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9"/>
    <w:bookmarkStart w:id="30" w:name="identify-user-status-ia-44"/>
    <w:p>
      <w:pPr>
        <w:pStyle w:val="Heading3"/>
      </w:pPr>
      <w:r>
        <w:t xml:space="preserve">Identify user status (IA-4(4))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manage individual identifiers so that each individual is uniquely identified as</w:t>
      </w:r>
      <w:r>
        <w:t xml:space="preserve"> </w:t>
      </w:r>
      <w:r>
        <w:rPr>
          <w:rStyle w:val="Fill-in"/>
        </w:rPr>
        <w:t xml:space="preserve">[Fill in: characteristics used to identify individual status. Typical: employee, contractor, or foreign national]</w:t>
      </w:r>
      <w:r>
        <w:t xml:space="preserve">. (IA-4(4))</w:t>
      </w:r>
    </w:p>
    <w:bookmarkEnd w:id="30"/>
    <w:bookmarkStart w:id="32" w:name="authenticator-management-ia-5"/>
    <w:p>
      <w:pPr>
        <w:pStyle w:val="Heading3"/>
      </w:pPr>
      <w:r>
        <w:t xml:space="preserve">Authenticator management (IA-5)</w:t>
      </w:r>
    </w:p>
    <w:p>
      <w:pPr>
        <w:pStyle w:val="Guidance"/>
      </w:pPr>
      <w:r>
        <w:t xml:space="preserve">For passwords,</w:t>
      </w:r>
      <w:r>
        <w:t xml:space="preserve"> </w:t>
      </w:r>
      <w:hyperlink r:id="rId31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 says verifiers shall not require periodic changes, and shall force a change when there is evidence of compromise. Set the change periods below by authenticator type, and keep scheduled changes for secrets such as shared or service account keys.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carries the procedures these statements call for: identity checks before issue and reset, binding, recovery, loss and revocation.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4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32"/>
    <w:bookmarkStart w:id="33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Guidance"/>
      </w:pPr>
      <w:r>
        <w:t xml:space="preserve">The typical values follow</w:t>
      </w:r>
      <w:r>
        <w:t xml:space="preserve"> </w:t>
      </w:r>
      <w:hyperlink r:id="rId31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2025): a minimum of 15 characters for a password used alone and 8 when it is one factor of several, no other composition rules, at least 64 characters allowed, and a check against a list of common and breached passwords. Section 7 of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sets out the full password rules.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33"/>
    <w:bookmarkStart w:id="34" w:name="public-key-based-authentication-ia-52"/>
    <w:p>
      <w:pPr>
        <w:pStyle w:val="Heading3"/>
      </w:pPr>
      <w:r>
        <w:t xml:space="preserve">Public key-based authentication (IA-5(2))</w:t>
      </w:r>
    </w:p>
    <w:p>
      <w:pPr>
        <w:pStyle w:val="Compact"/>
        <w:numPr>
          <w:ilvl w:val="0"/>
          <w:numId w:val="1016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authorized access to the corresponding private key. (IA-5(2)(a)(1))</w:t>
      </w:r>
    </w:p>
    <w:p>
      <w:pPr>
        <w:pStyle w:val="Compact"/>
        <w:numPr>
          <w:ilvl w:val="0"/>
          <w:numId w:val="1016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maps the authenticated identity to the account of the individual or group. (IA-5(2)(a)(2))</w:t>
      </w:r>
    </w:p>
    <w:p>
      <w:pPr>
        <w:pStyle w:val="Compact"/>
        <w:numPr>
          <w:ilvl w:val="0"/>
          <w:numId w:val="1016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validates certificates by constructing and verifying a certification path to an accepted trust anchor, including checking certificate status. (IA-5(2)(b)(1))</w:t>
      </w:r>
    </w:p>
    <w:p>
      <w:pPr>
        <w:pStyle w:val="Compact"/>
        <w:numPr>
          <w:ilvl w:val="0"/>
          <w:numId w:val="1016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keeps a local cache of revocation data to support path discovery and validation. (IA-5(2)(b)(2))</w:t>
      </w:r>
    </w:p>
    <w:bookmarkEnd w:id="34"/>
    <w:bookmarkStart w:id="35" w:name="protection-of-authenticators-ia-56"/>
    <w:p>
      <w:pPr>
        <w:pStyle w:val="Heading3"/>
      </w:pPr>
      <w:r>
        <w:t xml:space="preserve">Protection of authenticators (IA-5(6))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authenticators commensurate with the security category of the information that their use gives access to. (IA-5(6))</w:t>
      </w:r>
    </w:p>
    <w:bookmarkEnd w:id="35"/>
    <w:bookmarkStart w:id="36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36"/>
    <w:bookmarkStart w:id="37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7"/>
    <w:bookmarkStart w:id="38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8"/>
    <w:bookmarkStart w:id="39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Guidance"/>
      </w:pPr>
      <w:r>
        <w:t xml:space="preserve">This enhancement applies where federal employees or contractors from other agencies use the system. Outside that case, record it as not applicable in the system security plan with that reason.</w:t>
      </w:r>
    </w:p>
    <w:p>
      <w:pPr>
        <w:pStyle w:val="Compact"/>
        <w:numPr>
          <w:ilvl w:val="0"/>
          <w:numId w:val="1021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9"/>
    <w:bookmarkStart w:id="40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31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40"/>
    <w:bookmarkStart w:id="41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41"/>
    <w:bookmarkStart w:id="42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42"/>
    <w:bookmarkStart w:id="43" w:name="identity-proofing-ia-12"/>
    <w:p>
      <w:pPr>
        <w:pStyle w:val="Heading3"/>
      </w:pPr>
      <w:r>
        <w:t xml:space="preserve">Identity proofing (IA-12)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identity proof users who require accounts for logical access, at the identity assurance level the applicable standards require, such as the NIST SP 800-63-4 digital identity guidelines. (IA-12a)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resolve each user identity to a unique individual. (IA-12b)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collect, validate and verify identity evidence. (IA-12c)</w:t>
      </w:r>
    </w:p>
    <w:bookmarkEnd w:id="43"/>
    <w:bookmarkStart w:id="44" w:name="identity-evidence-ia-122"/>
    <w:p>
      <w:pPr>
        <w:pStyle w:val="Heading3"/>
      </w:pPr>
      <w:r>
        <w:t xml:space="preserve">Identity evidence (IA-12(2))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evidence of individual identification to be presented to the registration authority. (IA-12(2))</w:t>
      </w:r>
    </w:p>
    <w:bookmarkEnd w:id="44"/>
    <w:bookmarkStart w:id="45" w:name="Xdc88bc576340bc5619ea1313324889fc30d5741"/>
    <w:p>
      <w:pPr>
        <w:pStyle w:val="Heading3"/>
      </w:pPr>
      <w:r>
        <w:t xml:space="preserve">Identity evidence validation and verification (IA-12(3))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presented identity evidence to be validated and verified through</w:t>
      </w:r>
      <w:r>
        <w:t xml:space="preserve"> </w:t>
      </w:r>
      <w:r>
        <w:rPr>
          <w:rStyle w:val="Fill-in"/>
        </w:rPr>
        <w:t xml:space="preserve">[Fill in: methods of validation and verification of identity evidence. Typical: checking the evidence against its issuing or an authoritative source, and confirming the applicant is the person it describes]</w:t>
      </w:r>
      <w:r>
        <w:t xml:space="preserve">. (IA-12(3))</w:t>
      </w:r>
    </w:p>
    <w:bookmarkEnd w:id="45"/>
    <w:bookmarkStart w:id="46" w:name="Xfef85e52a29f987d93be967fb50340d8d106248"/>
    <w:p>
      <w:pPr>
        <w:pStyle w:val="Heading3"/>
      </w:pPr>
      <w:r>
        <w:t xml:space="preserve">In-person validation and verification (IA-12(4))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validation and verification of identity evidence to be conducted in person before a designated registration authority. (IA-12(4))</w:t>
      </w:r>
    </w:p>
    <w:bookmarkEnd w:id="46"/>
    <w:bookmarkStart w:id="47" w:name="address-confirmation-ia-125"/>
    <w:p>
      <w:pPr>
        <w:pStyle w:val="Heading3"/>
      </w:pPr>
      <w:r>
        <w:t xml:space="preserve">Address confirmation (IA-12(5))</w:t>
      </w:r>
    </w:p>
    <w:p>
      <w:pPr>
        <w:pStyle w:val="Compact"/>
        <w:numPr>
          <w:ilvl w:val="0"/>
          <w:numId w:val="102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a</w:t>
      </w:r>
      <w:r>
        <w:t xml:space="preserve"> </w:t>
      </w:r>
      <w:r>
        <w:rPr>
          <w:rStyle w:val="Fill-in"/>
        </w:rPr>
        <w:t xml:space="preserve">[Select one: registration code; notice of proofing. Typical: registration code]</w:t>
      </w:r>
      <w:r>
        <w:t xml:space="preserve"> </w:t>
      </w:r>
      <w:r>
        <w:t xml:space="preserve">to be delivered through an out-of-band channel to verify the user’s address of record, physical or digital. (IA-12(5))</w:t>
      </w:r>
    </w:p>
    <w:bookmarkEnd w:id="47"/>
    <w:bookmarkEnd w:id="48"/>
    <w:bookmarkStart w:id="5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5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5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31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51"/>
    <w:bookmarkEnd w:id="52"/>
    <w:bookmarkEnd w:id="5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201-3/final" TargetMode="External" /><Relationship Type="http://schemas.openxmlformats.org/officeDocument/2006/relationships/hyperlink" Id="rId31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49" Target="https://uscode.house.gov/view.xhtml?req=granuleid:USC-prelim-title44-section3554&amp;num=0&amp;edition=prelim" TargetMode="External" /><Relationship Type="http://schemas.openxmlformats.org/officeDocument/2006/relationships/hyperlink" Id="rId5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201-3/final" TargetMode="External" /><Relationship Type="http://schemas.openxmlformats.org/officeDocument/2006/relationships/hyperlink" Id="rId31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49" Target="https://uscode.house.gov/view.xhtml?req=granuleid:USC-prelim-title44-section3554&amp;num=0&amp;edition=prelim" TargetMode="External" /><Relationship Type="http://schemas.openxmlformats.org/officeDocument/2006/relationships/hyperlink" Id="rId5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