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identification-and-authentication-policy"/>
    <w:p>
      <w:pPr>
        <w:pStyle w:val="Heading1"/>
      </w:pPr>
      <w:r>
        <w:t xml:space="preserve">Identification and Authentication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Low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https://kston83.github.io/nist-guide/templates/policies/ia/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IA-1,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IA-1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Identification and Authentication, and who is accountable for meeting those requirements. (IA-1a.1(a))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(IA-1a.1(a))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(IA-1a.1(a))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(IA-1b)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(IA-1a.1(a))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(IA-1a.1(a))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(IA-1a.1(a))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(IA-1a.1(a))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(IA-1a.1(b))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(IA-1a.1(a))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(IA-1a.1(a))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(IA-1a.1(a))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(IA-1a.2)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identification and authentication policy is to be disseminated. Typical: everyone within its scope, through the policy library]</w:t>
      </w:r>
      <w:r>
        <w:t xml:space="preserve">. (IA-1a)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identification and authentication procedures are to be disseminated. Typical: the people who carry them out, and the system owners]</w:t>
      </w:r>
      <w:r>
        <w:t xml:space="preserve">. (IA-1a)</w:t>
      </w:r>
    </w:p>
    <w:bookmarkEnd w:id="18"/>
    <w:bookmarkStart w:id="38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20" w:name="Xfc092cb0b940bb3c90827bc9571f7f13e18ad78"/>
    <w:p>
      <w:pPr>
        <w:pStyle w:val="Heading3"/>
      </w:pPr>
      <w:r>
        <w:t xml:space="preserve">Identification and authentication (organizational users) (IA-2)</w:t>
      </w:r>
    </w:p>
    <w:p>
      <w:pPr>
        <w:pStyle w:val="Guidance"/>
      </w:pPr>
      <w:r>
        <w:t xml:space="preserve">The</w:t>
      </w:r>
      <w:r>
        <w:t xml:space="preserve"> </w:t>
      </w:r>
      <w:hyperlink r:id="rId19">
        <w:r>
          <w:rPr>
            <w:rStyle w:val="Hyperlink"/>
          </w:rPr>
          <w:t xml:space="preserve">identification and authentication standard</w:t>
        </w:r>
      </w:hyperlink>
      <w:r>
        <w:t xml:space="preserve"> </w:t>
      </w:r>
      <w:r>
        <w:t xml:space="preserve">makes the IA-2 statements measurable: the assurance level for each group of users, the approved authenticators, which are required for privileged and non-privileged access, and a part where each system records how its users authenticate.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 organizational users. (IA-2)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associates that unique identification with processes acting on behalf of those users. (IA-2)</w:t>
      </w:r>
    </w:p>
    <w:bookmarkEnd w:id="20"/>
    <w:bookmarkStart w:id="21" w:name="X10ca362e8ef34443d6116194eeeb1144c5e080b"/>
    <w:p>
      <w:pPr>
        <w:pStyle w:val="Heading3"/>
      </w:pPr>
      <w:r>
        <w:t xml:space="preserve">Multi-factor authentication to privileged accounts (IA-2(1))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multi-factor authentication for access to privileged accounts. (IA-2(1))</w:t>
      </w:r>
    </w:p>
    <w:bookmarkEnd w:id="21"/>
    <w:bookmarkStart w:id="22" w:name="Xc75032c33f8f596a3e4b90536171554e6e5350c"/>
    <w:p>
      <w:pPr>
        <w:pStyle w:val="Heading3"/>
      </w:pPr>
      <w:r>
        <w:t xml:space="preserve">Multi-factor authentication to non-privileged accounts (IA-2(2))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multi-factor authentication for access to non-privileged accounts. (IA-2(2))</w:t>
      </w:r>
    </w:p>
    <w:bookmarkEnd w:id="22"/>
    <w:bookmarkStart w:id="23" w:name="Xda8cfb7fa1495b87fd11ec1d3143cf1959a309d"/>
    <w:p>
      <w:pPr>
        <w:pStyle w:val="Heading3"/>
      </w:pPr>
      <w:r>
        <w:t xml:space="preserve">Access to accounts: replay resistant (IA-2(8))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replay-resistant authentication mechanisms for access to</w:t>
      </w:r>
      <w:r>
        <w:t xml:space="preserve"> </w:t>
      </w:r>
      <w:r>
        <w:rPr>
          <w:rStyle w:val="Fill-in"/>
        </w:rPr>
        <w:t xml:space="preserve">[Select one or more: privileged accounts; non-privileged accounts. Typical: privileged accounts and non-privileged accounts]</w:t>
      </w:r>
      <w:r>
        <w:t xml:space="preserve">. (IA-2(8))</w:t>
      </w:r>
    </w:p>
    <w:bookmarkEnd w:id="23"/>
    <w:bookmarkStart w:id="26" w:name="acceptance-of-piv-credentials-ia-212"/>
    <w:p>
      <w:pPr>
        <w:pStyle w:val="Heading3"/>
      </w:pPr>
      <w:r>
        <w:t xml:space="preserve">Acceptance of PIV credentials (IA-2(12))</w:t>
      </w:r>
    </w:p>
    <w:p>
      <w:pPr>
        <w:pStyle w:val="Guidance"/>
      </w:pPr>
      <w:r>
        <w:t xml:space="preserve">Personal Identity Verification (PIV) is the U.S. federal smart card credential. An organization outside the federal government meets this enhancement where it relies on PIV or PIV-interoperable credentials; if it uses none, record the enhancement as not applicable in the system security plan with that reason.</w:t>
      </w:r>
    </w:p>
    <w:p>
      <w:pPr>
        <w:pStyle w:val="Compact"/>
        <w:numPr>
          <w:ilvl w:val="0"/>
          <w:numId w:val="1008"/>
        </w:numPr>
      </w:pPr>
      <w:r>
        <w:t xml:space="preserve">Where the organization issues or relies on Personal Identity Verification (PIV)-compliant credentials,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and electronically verifies them. (IA-2(12))</w:t>
      </w:r>
    </w:p>
    <w:bookmarkStart w:id="25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employees and contractors are issued PIV credentials under Homeland Security Presidential Directive 12 (HSPD-12) and</w:t>
      </w:r>
      <w:r>
        <w:t xml:space="preserve"> </w:t>
      </w:r>
      <w:hyperlink r:id="rId24">
        <w:r>
          <w:rPr>
            <w:rStyle w:val="Hyperlink"/>
          </w:rPr>
          <w:t xml:space="preserve">FIPS 201-3</w:t>
        </w:r>
      </w:hyperlink>
      <w:r>
        <w:t xml:space="preserve">, Personal Identity Verification (PIV) of Federal Employees and Contractors (January 2022).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and electronically verifies PIV credentials for organizational users. (IA-2(12))</w:t>
      </w:r>
    </w:p>
    <w:bookmarkEnd w:id="25"/>
    <w:bookmarkEnd w:id="26"/>
    <w:bookmarkStart w:id="27" w:name="identifier-management-ia-4"/>
    <w:p>
      <w:pPr>
        <w:pStyle w:val="Heading3"/>
      </w:pPr>
      <w:r>
        <w:t xml:space="preserve">Identifier management (IA-4)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assign an individual, group, role, service or device identifier only with authorization from</w:t>
      </w:r>
      <w:r>
        <w:t xml:space="preserve"> </w:t>
      </w:r>
      <w:r>
        <w:rPr>
          <w:rStyle w:val="Fill-in"/>
        </w:rPr>
        <w:t xml:space="preserve">[Fill in: personnel or roles from whom authorization must be received to assign an identifier. Typical: the system owner, through the approved access request]</w:t>
      </w:r>
      <w:r>
        <w:t xml:space="preserve">. (IA-4a)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select an identifier that identifies the individual, group, role, service or device. (IA-4b)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assign the identifier to the intended individual, group, role, service or device. (IA-4c)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prevent reuse of identifiers for</w:t>
      </w:r>
      <w:r>
        <w:t xml:space="preserve"> </w:t>
      </w:r>
      <w:r>
        <w:rPr>
          <w:rStyle w:val="Fill-in"/>
        </w:rPr>
        <w:t xml:space="preserve">[Fill in: a time period for preventing reuse of identifiers. Typical: at least two years]</w:t>
      </w:r>
      <w:r>
        <w:t xml:space="preserve">. (IA-4d)</w:t>
      </w:r>
    </w:p>
    <w:bookmarkEnd w:id="27"/>
    <w:bookmarkStart w:id="29" w:name="authenticator-management-ia-5"/>
    <w:p>
      <w:pPr>
        <w:pStyle w:val="Heading3"/>
      </w:pPr>
      <w:r>
        <w:t xml:space="preserve">Authenticator management (IA-5)</w:t>
      </w:r>
    </w:p>
    <w:p>
      <w:pPr>
        <w:pStyle w:val="Guidance"/>
      </w:pPr>
      <w:r>
        <w:t xml:space="preserve">For passwords,</w:t>
      </w:r>
      <w:r>
        <w:t xml:space="preserve"> </w:t>
      </w:r>
      <w:hyperlink r:id="rId28">
        <w:r>
          <w:rPr>
            <w:rStyle w:val="Hyperlink"/>
          </w:rPr>
          <w:t xml:space="preserve">NIST SP 800-63B-4</w:t>
        </w:r>
      </w:hyperlink>
      <w:r>
        <w:t xml:space="preserve"> </w:t>
      </w:r>
      <w:r>
        <w:t xml:space="preserve">(July 2025) says verifiers shall not require periodic changes, and shall force a change when there is evidence of compromise. Set the change periods below by authenticator type, and keep scheduled changes for secrets such as shared or service account keys. The</w:t>
      </w:r>
      <w:r>
        <w:t xml:space="preserve"> </w:t>
      </w:r>
      <w:hyperlink r:id="rId19">
        <w:r>
          <w:rPr>
            <w:rStyle w:val="Hyperlink"/>
          </w:rPr>
          <w:t xml:space="preserve">identification and authentication standard</w:t>
        </w:r>
      </w:hyperlink>
      <w:r>
        <w:t xml:space="preserve"> </w:t>
      </w:r>
      <w:r>
        <w:t xml:space="preserve">carries the procedures these statements call for: identity checks before issue and reset, binding, recovery, loss and revocation.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verify the identity of the individual, group, role, service or device receiving an authenticator as part of its initial distribution. (IA-5a)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establish the initial content of any authenticator the organization issues. (IA-5b)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authenticators have sufficient strength of mechanism for their intended use. (IA-5c)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administrative procedures for initial authenticator distribution, for lost, compromised or damaged authenticators, and for revoking authenticators. (IA-5d)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implement those procedures. (IA-5d)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default authenticators are changed before first use. (IA-5e)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or refresh authenticators as follows:</w:t>
      </w:r>
      <w:r>
        <w:t xml:space="preserve"> </w:t>
      </w:r>
      <w:r>
        <w:rPr>
          <w:rStyle w:val="Fill-in"/>
        </w:rPr>
        <w:t xml:space="preserve">[Fill in: a time period for changing or refreshing authenticators by authenticator type. Typical: no scheduled change for user passwords; certificates at expiry; shared and service account secrets at least annually]</w:t>
      </w:r>
      <w:r>
        <w:t xml:space="preserve">. (IA-5f)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or refresh authenticators when</w:t>
      </w:r>
      <w:r>
        <w:t xml:space="preserve"> </w:t>
      </w:r>
      <w:r>
        <w:rPr>
          <w:rStyle w:val="Fill-in"/>
        </w:rPr>
        <w:t xml:space="preserve">[Fill in: events that trigger the change or refreshment of authenticators. Typical: evidence or suspicion of compromise, and departure of a person who knew a shared authenticator]</w:t>
      </w:r>
      <w:r>
        <w:t xml:space="preserve"> </w:t>
      </w:r>
      <w:r>
        <w:t xml:space="preserve">occur. (IA-5f)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authenticator content from unauthorized disclosure and modification. (IA-5g)</w:t>
      </w:r>
    </w:p>
    <w:p>
      <w:pPr>
        <w:pStyle w:val="Compact"/>
        <w:numPr>
          <w:ilvl w:val="0"/>
          <w:numId w:val="1011"/>
        </w:numPr>
      </w:pPr>
      <w:r>
        <w:t xml:space="preserve">Users shall protect their authenticators as the rules of behavior require. (IA-5h)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devices implement the controls that protect authenticators. (IA-5h)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the authenticators of group or role accounts when membership of those accounts changes. (IA-5i)</w:t>
      </w:r>
    </w:p>
    <w:bookmarkEnd w:id="29"/>
    <w:bookmarkStart w:id="30" w:name="password-based-authentication-ia-51"/>
    <w:p>
      <w:pPr>
        <w:pStyle w:val="Heading3"/>
      </w:pPr>
      <w:r>
        <w:t xml:space="preserve">Password-based authentication (IA-5(1))</w:t>
      </w:r>
    </w:p>
    <w:p>
      <w:pPr>
        <w:pStyle w:val="Guidance"/>
      </w:pPr>
      <w:r>
        <w:t xml:space="preserve">The typical values follow</w:t>
      </w:r>
      <w:r>
        <w:t xml:space="preserve"> </w:t>
      </w:r>
      <w:hyperlink r:id="rId28">
        <w:r>
          <w:rPr>
            <w:rStyle w:val="Hyperlink"/>
          </w:rPr>
          <w:t xml:space="preserve">NIST SP 800-63B-4</w:t>
        </w:r>
      </w:hyperlink>
      <w:r>
        <w:t xml:space="preserve"> </w:t>
      </w:r>
      <w:r>
        <w:t xml:space="preserve">(July 2025): a minimum of 15 characters for a password used alone and 8 when it is one factor of several, no other composition rules, at least 64 characters allowed, and a check against a list of common and breached passwords. Section 7 of the</w:t>
      </w:r>
      <w:r>
        <w:t xml:space="preserve"> </w:t>
      </w:r>
      <w:hyperlink r:id="rId19">
        <w:r>
          <w:rPr>
            <w:rStyle w:val="Hyperlink"/>
          </w:rPr>
          <w:t xml:space="preserve">identification and authentication standard</w:t>
        </w:r>
      </w:hyperlink>
      <w:r>
        <w:t xml:space="preserve"> </w:t>
      </w:r>
      <w:r>
        <w:t xml:space="preserve">sets out the full password rules.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a list of commonly used, expected or compromised passwords, and update it</w:t>
      </w:r>
      <w:r>
        <w:t xml:space="preserve"> </w:t>
      </w:r>
      <w:r>
        <w:rPr>
          <w:rStyle w:val="Fill-in"/>
        </w:rPr>
        <w:t xml:space="preserve">[Fill in: the frequency at which to update the list of commonly used, expected, or compromised passwords. Typical: at least monthly, and whenever a relevant breach corpus is published]</w:t>
      </w:r>
      <w:r>
        <w:t xml:space="preserve"> </w:t>
      </w:r>
      <w:r>
        <w:t xml:space="preserve">and when organizational passwords are suspected to have been compromised. (IA-5(1)(a))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verifies, when users create or update passwords, that the passwords are not on that list. (IA-5(1)(b))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passwords are transmitted only over cryptographically protected channels. (IA-5(1)(c))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passwords are stored using an approved salted key derivation function, preferably using a keyed hash. (IA-5(1)(d))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requires immediate selection of a new password upon account recovery. (IA-5(1)(e))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allows long passwords and passphrases, including spaces and all printable characters. (IA-5(1)(f))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employ automated tools to help users select strong passwords. (IA-5(1)(g))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enforces these composition and complexity rules:</w:t>
      </w:r>
      <w:r>
        <w:t xml:space="preserve"> </w:t>
      </w:r>
      <w:r>
        <w:rPr>
          <w:rStyle w:val="Fill-in"/>
        </w:rPr>
        <w:t xml:space="preserve">[Fill in: authenticator composition and complexity rules. Typical: a minimum length of 15 characters for passwords used as the only factor and 8 for passwords used with another factor, and no other composition rules]</w:t>
      </w:r>
      <w:r>
        <w:t xml:space="preserve">. (IA-5(1)(h))</w:t>
      </w:r>
    </w:p>
    <w:bookmarkEnd w:id="30"/>
    <w:bookmarkStart w:id="31" w:name="authentication-feedback-ia-6"/>
    <w:p>
      <w:pPr>
        <w:pStyle w:val="Heading3"/>
      </w:pPr>
      <w:r>
        <w:t xml:space="preserve">Authentication feedback (IA-6)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obscures feedback of authentication information during authentication, so it cannot be exploited by unauthorized individuals. (IA-6)</w:t>
      </w:r>
    </w:p>
    <w:bookmarkEnd w:id="31"/>
    <w:bookmarkStart w:id="32" w:name="cryptographic-module-authentication-ia-7"/>
    <w:p>
      <w:pPr>
        <w:pStyle w:val="Heading3"/>
      </w:pPr>
      <w:r>
        <w:t xml:space="preserve">Cryptographic module authentication (IA-7)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mechanisms for authentication to a cryptographic module that meet the laws, executive orders, directives, policies, regulations, standards and guidelines that apply to such authentication. (IA-7)</w:t>
      </w:r>
    </w:p>
    <w:bookmarkEnd w:id="32"/>
    <w:bookmarkStart w:id="33" w:name="X2b07957ea80570e9ead57d83aaa3033ad09a62b"/>
    <w:p>
      <w:pPr>
        <w:pStyle w:val="Heading3"/>
      </w:pPr>
      <w:r>
        <w:t xml:space="preserve">Identification and authentication (non-organizational users) (IA-8)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 non-organizational users and processes acting on their behalf. (IA-8)</w:t>
      </w:r>
    </w:p>
    <w:bookmarkEnd w:id="33"/>
    <w:bookmarkStart w:id="34" w:name="Xb563bcad0b4a0efea7541087a3ea4f0d3f95d18"/>
    <w:p>
      <w:pPr>
        <w:pStyle w:val="Heading3"/>
      </w:pPr>
      <w:r>
        <w:t xml:space="preserve">Acceptance of PIV credentials from other agencies (IA-8(1))</w:t>
      </w:r>
    </w:p>
    <w:p>
      <w:pPr>
        <w:pStyle w:val="Guidance"/>
      </w:pPr>
      <w:r>
        <w:t xml:space="preserve">This enhancement applies where federal employees or contractors from other agencies use the system. Outside that case, record it as not applicable in the system security plan with that reason.</w:t>
      </w:r>
    </w:p>
    <w:p>
      <w:pPr>
        <w:pStyle w:val="Compact"/>
        <w:numPr>
          <w:ilvl w:val="0"/>
          <w:numId w:val="1016"/>
        </w:numPr>
      </w:pPr>
      <w:r>
        <w:t xml:space="preserve">Where users from federal agencies access the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it accepts and electronically verifies their Personal Identity Verification (PIV)-compliant credentials. (IA-8(1))</w:t>
      </w:r>
    </w:p>
    <w:bookmarkEnd w:id="34"/>
    <w:bookmarkStart w:id="35" w:name="X4af41985cb0e1b65f5499d6e4b647301fad28a4"/>
    <w:p>
      <w:pPr>
        <w:pStyle w:val="Heading3"/>
      </w:pPr>
      <w:r>
        <w:t xml:space="preserve">Acceptance of external authenticators (IA-8(2))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only external authenticators that are NIST-compliant, such as those meeting</w:t>
      </w:r>
      <w:r>
        <w:t xml:space="preserve"> </w:t>
      </w:r>
      <w:hyperlink r:id="rId28">
        <w:r>
          <w:rPr>
            <w:rStyle w:val="Hyperlink"/>
          </w:rPr>
          <w:t xml:space="preserve">NIST SP 800-63B-4</w:t>
        </w:r>
      </w:hyperlink>
      <w:r>
        <w:t xml:space="preserve"> </w:t>
      </w:r>
      <w:r>
        <w:t xml:space="preserve">(July 2025). (IA-8(2)(a))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and maintain a list of accepted external authenticators. (IA-8(2)(b))</w:t>
      </w:r>
    </w:p>
    <w:bookmarkEnd w:id="35"/>
    <w:bookmarkStart w:id="36" w:name="use-of-defined-profiles-ia-84"/>
    <w:p>
      <w:pPr>
        <w:pStyle w:val="Heading3"/>
      </w:pPr>
      <w:r>
        <w:t xml:space="preserve">Use of defined profiles (IA-8(4))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conforms to</w:t>
      </w:r>
      <w:r>
        <w:t xml:space="preserve"> </w:t>
      </w:r>
      <w:r>
        <w:rPr>
          <w:rStyle w:val="Fill-in"/>
        </w:rPr>
        <w:t xml:space="preserve">[Fill in: identity management profiles. Typical: the federation profiles the organization publishes for its identity provider, such as SAML 2.0 or OpenID Connect]</w:t>
      </w:r>
      <w:r>
        <w:t xml:space="preserve"> </w:t>
      </w:r>
      <w:r>
        <w:t xml:space="preserve">for identity management. (IA-8(4))</w:t>
      </w:r>
    </w:p>
    <w:bookmarkEnd w:id="36"/>
    <w:bookmarkStart w:id="37" w:name="re-authentication-ia-11"/>
    <w:p>
      <w:pPr>
        <w:pStyle w:val="Heading3"/>
      </w:pPr>
      <w:r>
        <w:t xml:space="preserve">Re-authentication (IA-11)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requires users to re-authenticate when</w:t>
      </w:r>
      <w:r>
        <w:t xml:space="preserve"> </w:t>
      </w:r>
      <w:r>
        <w:rPr>
          <w:rStyle w:val="Fill-in"/>
        </w:rPr>
        <w:t xml:space="preserve">[Fill in: circumstances or situations requiring re-authentication. Typical: a session timeout, a change of role or privilege, a privileged action, or a change of authenticators]</w:t>
      </w:r>
      <w:r>
        <w:t xml:space="preserve">. (IA-11)</w:t>
      </w:r>
    </w:p>
    <w:bookmarkEnd w:id="37"/>
    <w:bookmarkEnd w:id="38"/>
    <w:bookmarkStart w:id="42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2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identification and authentication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identification and authentication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(IA-1c.1)</w:t>
      </w:r>
    </w:p>
    <w:p>
      <w:pPr>
        <w:pStyle w:val="Compact"/>
        <w:numPr>
          <w:ilvl w:val="0"/>
          <w:numId w:val="102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identification and authentication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identification and authentication procedures to be reviewed and updated. Typical: the same events as the policy, and changes to the systems, tools or services the procedures describe]</w:t>
      </w:r>
      <w:r>
        <w:t xml:space="preserve">. (IA-1c.2)</w:t>
      </w:r>
    </w:p>
    <w:bookmarkStart w:id="41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39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40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21"/>
        </w:numPr>
      </w:pPr>
      <w:r>
        <w:t xml:space="preserve">Where the agency’s organization-wide policy sets a value for a parameter in this policy, each system shall use that value or a stricter one. (IA-1a.1(b))</w:t>
      </w:r>
    </w:p>
    <w:bookmarkEnd w:id="41"/>
    <w:bookmarkEnd w:id="42"/>
    <w:bookmarkEnd w:id="4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Identification and Authentication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4" Target="https://csrc.nist.gov/pubs/fips/201-3/final" TargetMode="External" /><Relationship Type="http://schemas.openxmlformats.org/officeDocument/2006/relationships/hyperlink" Id="rId28" Target="https://csrc.nist.gov/pubs/sp/800/63/b/4/final" TargetMode="External" /><Relationship Type="http://schemas.openxmlformats.org/officeDocument/2006/relationships/hyperlink" Id="rId9" Target="https://kston83.github.io/nist-guide/templates/policies/ia/" TargetMode="External" /><Relationship Type="http://schemas.openxmlformats.org/officeDocument/2006/relationships/hyperlink" Id="rId19" Target="https://kston83.github.io/nist-guide/templates/standards/identification-and-authentication-standard/" TargetMode="External" /><Relationship Type="http://schemas.openxmlformats.org/officeDocument/2006/relationships/hyperlink" Id="rId39" Target="https://uscode.house.gov/view.xhtml?req=granuleid:USC-prelim-title44-section3554&amp;num=0&amp;edition=prelim" TargetMode="External" /><Relationship Type="http://schemas.openxmlformats.org/officeDocument/2006/relationships/hyperlink" Id="rId40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4" Target="https://csrc.nist.gov/pubs/fips/201-3/final" TargetMode="External" /><Relationship Type="http://schemas.openxmlformats.org/officeDocument/2006/relationships/hyperlink" Id="rId28" Target="https://csrc.nist.gov/pubs/sp/800/63/b/4/final" TargetMode="External" /><Relationship Type="http://schemas.openxmlformats.org/officeDocument/2006/relationships/hyperlink" Id="rId9" Target="https://kston83.github.io/nist-guide/templates/policies/ia/" TargetMode="External" /><Relationship Type="http://schemas.openxmlformats.org/officeDocument/2006/relationships/hyperlink" Id="rId19" Target="https://kston83.github.io/nist-guide/templates/standards/identification-and-authentication-standard/" TargetMode="External" /><Relationship Type="http://schemas.openxmlformats.org/officeDocument/2006/relationships/hyperlink" Id="rId39" Target="https://uscode.house.gov/view.xhtml?req=granuleid:USC-prelim-title44-section3554&amp;num=0&amp;edition=prelim" TargetMode="External" /><Relationship Type="http://schemas.openxmlformats.org/officeDocument/2006/relationships/hyperlink" Id="rId40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