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1" w:name="identification-and-authentication-policy"/>
    <w:p>
      <w:pPr>
        <w:pStyle w:val="Heading1"/>
      </w:pPr>
      <w:r>
        <w:t xml:space="preserve">Identification and Authentication Policy</w:t>
      </w:r>
    </w:p>
    <w:p>
      <w:pPr>
        <w:pStyle w:val="FirstParagraph"/>
      </w:pPr>
      <w:r>
        <w:rPr>
          <w:b/>
          <w:bCs/>
        </w:rPr>
        <w:t xml:space="preserve">Template version:</w:t>
      </w:r>
      <w:r>
        <w:t xml:space="preserve"> </w:t>
      </w:r>
      <w:r>
        <w:t xml:space="preserve">1.0.0 ·</w:t>
      </w:r>
      <w:r>
        <w:t xml:space="preserve"> </w:t>
      </w:r>
      <w:r>
        <w:rPr>
          <w:b/>
          <w:bCs/>
        </w:rPr>
        <w:t xml:space="preserve">Baseline:</w:t>
      </w:r>
      <w:r>
        <w:t xml:space="preserve"> </w:t>
      </w:r>
      <w:r>
        <w:t xml:space="preserve">Moderate ·</w:t>
      </w:r>
      <w:r>
        <w:t xml:space="preserve"> </w:t>
      </w:r>
      <w:r>
        <w:rPr>
          <w:b/>
          <w:bCs/>
        </w:rPr>
        <w:t xml:space="preserve">Edition:</w:t>
      </w:r>
      <w:r>
        <w:t xml:space="preserve"> </w:t>
      </w:r>
      <w:r>
        <w:t xml:space="preserve">Annotated (with guidance) ·</w:t>
      </w:r>
      <w:r>
        <w:t xml:space="preserve"> </w:t>
      </w:r>
      <w:r>
        <w:rPr>
          <w:b/>
          <w:bCs/>
        </w:rPr>
        <w:t xml:space="preserve">NIST basis:</w:t>
      </w:r>
      <w:r>
        <w:t xml:space="preserve"> </w:t>
      </w:r>
      <w:r>
        <w:t xml:space="preserve">SP 800-53 Rev. 5, release 5.2.0</w:t>
      </w:r>
    </w:p>
    <w:p>
      <w:pPr>
        <w:pStyle w:val="BodyText"/>
      </w:pPr>
      <w:r>
        <w:rPr>
          <w:i/>
          <w:iCs/>
        </w:rPr>
        <w:t xml:space="preserve">Tailor this template before adoption; it is not legal advice.</w:t>
      </w:r>
      <w:r>
        <w:t xml:space="preserve"> </w:t>
      </w:r>
      <w:r>
        <w:t xml:space="preserve">Latest version:</w:t>
      </w:r>
      <w:r>
        <w:t xml:space="preserve"> </w:t>
      </w:r>
      <w:hyperlink r:id="rId9">
        <w:r>
          <w:rPr>
            <w:rStyle w:val="Hyperlink"/>
          </w:rPr>
          <w:t xml:space="preserve">https://kston83.github.io/nist-guide/templates/policies/ia/</w:t>
        </w:r>
      </w:hyperlink>
      <w:r>
        <w:t xml:space="preserve">. Dedicated to the public domain under CC0 1.0 (</w:t>
      </w:r>
      <w:hyperlink r:id="rId10">
        <w:r>
          <w:rPr>
            <w:rStyle w:val="Hyperlink"/>
          </w:rPr>
          <w:t xml:space="preserve">https://creativecommons.org/publicdomain/zero/1.0/</w:t>
        </w:r>
      </w:hyperlink>
      <w:r>
        <w:t xml:space="preserve">): adopt and change it without attribution.</w:t>
      </w:r>
    </w:p>
    <w:p>
      <w:pPr>
        <w:pStyle w:val="Guidance"/>
      </w:pPr>
      <w:r>
        <w:t xml:space="preserve">The sections before and after Policy statements meet IA-1, which asks for a policy that addresses purpose, scope, roles, responsibilities, management commitment, coordination and compliance, plus procedures, dissemination, a designated official and a review cycle. Assessors check each element, so keep every section even when it is short. Each statement cites the IA-1 item it meets. If you adopt several family policies, the same sections repeat in each; that is expected, and it lets each policy stand alone.</w:t>
      </w:r>
    </w:p>
    <w:bookmarkStart w:id="11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policy states what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requires for Identification and Authentication, and who is accountable for meeting those requirements. (IA-1a.1(a))</w:t>
      </w:r>
    </w:p>
    <w:bookmarkEnd w:id="11"/>
    <w:bookmarkStart w:id="12" w:name="scope"/>
    <w:p>
      <w:pPr>
        <w:pStyle w:val="Heading2"/>
      </w:pPr>
      <w:r>
        <w:t xml:space="preserve">Scope</w:t>
      </w:r>
    </w:p>
    <w:p>
      <w:pPr>
        <w:pStyle w:val="FirstParagraph"/>
      </w:pPr>
      <w:r>
        <w:t xml:space="preserve">This policy applies at the</w:t>
      </w:r>
      <w:r>
        <w:t xml:space="preserve"> </w:t>
      </w:r>
      <w:r>
        <w:rPr>
          <w:rStyle w:val="Fill-in"/>
        </w:rPr>
        <w:t xml:space="preserve">[Select one or more: organization-level; mission/business process-level; system-level. Typical: organization-level]</w:t>
      </w:r>
      <w:r>
        <w:t xml:space="preserve"> </w:t>
      </w:r>
      <w:r>
        <w:t xml:space="preserve">to every system that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 </w:t>
      </w:r>
      <w:r>
        <w:t xml:space="preserve">owns or operates, or that is operated on its behalf, and to every person with access to those systems, including employees, contractors and partners. (IA-1a.1(a))</w:t>
      </w:r>
    </w:p>
    <w:bookmarkEnd w:id="12"/>
    <w:bookmarkStart w:id="13" w:name="roles-and-responsibilities"/>
    <w:p>
      <w:pPr>
        <w:pStyle w:val="Heading2"/>
      </w:pPr>
      <w:r>
        <w:t xml:space="preserve">Roles and responsibilities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is accountable for this policy and shall approve exceptions to it. (IA-1a.1(a))</w:t>
      </w:r>
    </w:p>
    <w:p>
      <w:pPr>
        <w:pStyle w:val="Compact"/>
        <w:numPr>
          <w:ilvl w:val="0"/>
          <w:numId w:val="100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identification and authentication policy and procedures. Typical: Chief Information Security Officer]</w:t>
      </w:r>
      <w:r>
        <w:t xml:space="preserve"> </w:t>
      </w:r>
      <w:r>
        <w:t xml:space="preserve">shall manage the development, documentation and dissemination of this policy and its procedures. (IA-1b)</w:t>
      </w:r>
    </w:p>
    <w:p>
      <w:pPr>
        <w:pStyle w:val="Compact"/>
        <w:numPr>
          <w:ilvl w:val="0"/>
          <w:numId w:val="1001"/>
        </w:numPr>
      </w:pPr>
      <w:r>
        <w:t xml:space="preserve">Each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this policy for their system and document how in the system security plan. (IA-1a.1(a))</w:t>
      </w:r>
    </w:p>
    <w:p>
      <w:pPr>
        <w:pStyle w:val="Compact"/>
        <w:numPr>
          <w:ilvl w:val="0"/>
          <w:numId w:val="1001"/>
        </w:numPr>
      </w:pPr>
      <w:r>
        <w:t xml:space="preserve">Each person within scope shall follow this policy and report suspected violations to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. (IA-1a.1(a))</w:t>
      </w:r>
    </w:p>
    <w:bookmarkEnd w:id="13"/>
    <w:bookmarkStart w:id="14" w:name="management-commitment"/>
    <w:p>
      <w:pPr>
        <w:pStyle w:val="Heading2"/>
      </w:pPr>
      <w:r>
        <w:t xml:space="preserve">Management commitment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[Senior leader]</w:t>
      </w:r>
      <w:r>
        <w:t xml:space="preserve"> </w:t>
      </w:r>
      <w:r>
        <w:t xml:space="preserve">approves this policy and shall provide the resources needed to implement it. (IA-1a.1(a))</w:t>
      </w:r>
    </w:p>
    <w:bookmarkEnd w:id="14"/>
    <w:bookmarkStart w:id="15" w:name="coordination"/>
    <w:p>
      <w:pPr>
        <w:pStyle w:val="Heading2"/>
      </w:pPr>
      <w:r>
        <w:t xml:space="preserve">Coordination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coordinate this policy with the legal, privacy, human resources and procurement functions, and with the owners of related policies, before each approval. (IA-1a.1(a))</w:t>
      </w:r>
    </w:p>
    <w:bookmarkEnd w:id="15"/>
    <w:bookmarkStart w:id="16" w:name="compliance"/>
    <w:p>
      <w:pPr>
        <w:pStyle w:val="Heading2"/>
      </w:pPr>
      <w:r>
        <w:t xml:space="preserve">Compliance</w:t>
      </w:r>
    </w:p>
    <w:p>
      <w:pPr>
        <w:pStyle w:val="Compact"/>
        <w:numPr>
          <w:ilvl w:val="0"/>
          <w:numId w:val="1002"/>
        </w:numPr>
      </w:pPr>
      <w:r>
        <w:t xml:space="preserve">This policy shall be consistent with the laws, executive orders, directives, regulations, policies, standards and guidelines that apply to</w:t>
      </w:r>
      <w:r>
        <w:t xml:space="preserve"> </w:t>
      </w:r>
      <w:r>
        <w:rPr>
          <w:rStyle w:val="Fill-in"/>
        </w:rPr>
        <w:t xml:space="preserve">[Organization name]</w:t>
      </w:r>
      <w:r>
        <w:t xml:space="preserve">, including</w:t>
      </w:r>
      <w:r>
        <w:t xml:space="preserve"> </w:t>
      </w:r>
      <w:r>
        <w:rPr>
          <w:rStyle w:val="Fill-in"/>
        </w:rPr>
        <w:t xml:space="preserve">[Fill in: laws, regulations and standards that apply to the organization]</w:t>
      </w:r>
      <w:r>
        <w:t xml:space="preserve">. (IA-1a.1(b))</w:t>
      </w:r>
    </w:p>
    <w:p>
      <w:pPr>
        <w:pStyle w:val="Compact"/>
        <w:numPr>
          <w:ilvl w:val="0"/>
          <w:numId w:val="100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review compliance with this policy through the organization’s assessment and continuous monitoring activities. (IA-1a.1(a))</w:t>
      </w:r>
    </w:p>
    <w:p>
      <w:pPr>
        <w:pStyle w:val="Compact"/>
        <w:numPr>
          <w:ilvl w:val="0"/>
          <w:numId w:val="1002"/>
        </w:numPr>
      </w:pPr>
      <w:r>
        <w:t xml:space="preserve">An exception to this policy shall be requested in writing, approved by 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, time-limited and recorded with its compensating measures. (IA-1a.1(a))</w:t>
      </w:r>
    </w:p>
    <w:p>
      <w:pPr>
        <w:pStyle w:val="Compact"/>
        <w:numPr>
          <w:ilvl w:val="0"/>
          <w:numId w:val="1002"/>
        </w:numPr>
      </w:pPr>
      <w:r>
        <w:t xml:space="preserve">Violations of this policy shall be handled through the organization’s sanctions process. (IA-1a.1(a))</w:t>
      </w:r>
    </w:p>
    <w:bookmarkEnd w:id="16"/>
    <w:bookmarkStart w:id="17" w:name="procedures"/>
    <w:p>
      <w:pPr>
        <w:pStyle w:val="Heading2"/>
      </w:pPr>
      <w:r>
        <w:t xml:space="preserve">Procedures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identification and authentication policy and procedures. Typical: Chief Information Security Officer]</w:t>
      </w:r>
      <w:r>
        <w:t xml:space="preserve"> </w:t>
      </w:r>
      <w:r>
        <w:t xml:space="preserve">shall ensure that documented procedures exist to implement this policy and its associated controls. (IA-1a.2)</w:t>
      </w:r>
    </w:p>
    <w:bookmarkEnd w:id="17"/>
    <w:bookmarkStart w:id="18" w:name="dissemination"/>
    <w:p>
      <w:pPr>
        <w:pStyle w:val="Heading2"/>
      </w:pPr>
      <w:r>
        <w:t xml:space="preserve">Dissemination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identification and authentication policy and procedures. Typical: Chief Information Security Officer]</w:t>
      </w:r>
      <w:r>
        <w:t xml:space="preserve"> </w:t>
      </w:r>
      <w:r>
        <w:t xml:space="preserve">shall disseminate this policy to</w:t>
      </w:r>
      <w:r>
        <w:t xml:space="preserve"> </w:t>
      </w:r>
      <w:r>
        <w:rPr>
          <w:rStyle w:val="Fill-in"/>
        </w:rPr>
        <w:t xml:space="preserve">[Fill in: personnel or roles to whom the identification and authentication policy is to be disseminated. Typical: everyone within its scope, through the policy library]</w:t>
      </w:r>
      <w:r>
        <w:t xml:space="preserve">. (IA-1a)</w:t>
      </w:r>
    </w:p>
    <w:p>
      <w:pPr>
        <w:pStyle w:val="Compact"/>
        <w:numPr>
          <w:ilvl w:val="0"/>
          <w:numId w:val="100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identification and authentication policy and procedures. Typical: Chief Information Security Officer]</w:t>
      </w:r>
      <w:r>
        <w:t xml:space="preserve"> </w:t>
      </w:r>
      <w:r>
        <w:t xml:space="preserve">shall disseminate the procedures that implement this policy to</w:t>
      </w:r>
      <w:r>
        <w:t xml:space="preserve"> </w:t>
      </w:r>
      <w:r>
        <w:rPr>
          <w:rStyle w:val="Fill-in"/>
        </w:rPr>
        <w:t xml:space="preserve">[Fill in: personnel or roles to whom the identification and authentication procedures are to be disseminated. Typical: the people who carry them out, and the system owners]</w:t>
      </w:r>
      <w:r>
        <w:t xml:space="preserve">. (IA-1a)</w:t>
      </w:r>
    </w:p>
    <w:bookmarkEnd w:id="18"/>
    <w:bookmarkStart w:id="46" w:name="policy-statements"/>
    <w:p>
      <w:pPr>
        <w:pStyle w:val="Heading2"/>
      </w:pPr>
      <w:r>
        <w:t xml:space="preserve">Policy statements</w:t>
      </w:r>
    </w:p>
    <w:p>
      <w:pPr>
        <w:pStyle w:val="Guidance"/>
      </w:pPr>
      <w:r>
        <w:t xml:space="preserve">Each statement below comes from the clause for one control or enhancement in the chosen baseline. The reference at the end of each statement names the control item it meets.</w:t>
      </w:r>
    </w:p>
    <w:bookmarkStart w:id="20" w:name="Xfc092cb0b940bb3c90827bc9571f7f13e18ad78"/>
    <w:p>
      <w:pPr>
        <w:pStyle w:val="Heading3"/>
      </w:pPr>
      <w:r>
        <w:t xml:space="preserve">Identification and authentication (organizational users) (IA-2)</w:t>
      </w:r>
    </w:p>
    <w:p>
      <w:pPr>
        <w:pStyle w:val="Guidance"/>
      </w:pPr>
      <w:r>
        <w:t xml:space="preserve">The</w:t>
      </w:r>
      <w:r>
        <w:t xml:space="preserve"> </w:t>
      </w:r>
      <w:hyperlink r:id="rId19">
        <w:r>
          <w:rPr>
            <w:rStyle w:val="Hyperlink"/>
          </w:rPr>
          <w:t xml:space="preserve">identification and authentication standard</w:t>
        </w:r>
      </w:hyperlink>
      <w:r>
        <w:t xml:space="preserve"> </w:t>
      </w:r>
      <w:r>
        <w:t xml:space="preserve">makes the IA-2 statements measurable: the assurance level for each group of users, the approved authenticators, which are required for privileged and non-privileged access, and a part where each system records how its users authenticate.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uniquely identifies and authenticates organizational users. (IA-2)</w:t>
      </w:r>
    </w:p>
    <w:p>
      <w:pPr>
        <w:pStyle w:val="Compact"/>
        <w:numPr>
          <w:ilvl w:val="0"/>
          <w:numId w:val="100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associates that unique identification with processes acting on behalf of those users. (IA-2)</w:t>
      </w:r>
    </w:p>
    <w:bookmarkEnd w:id="20"/>
    <w:bookmarkStart w:id="21" w:name="X10ca362e8ef34443d6116194eeeb1144c5e080b"/>
    <w:p>
      <w:pPr>
        <w:pStyle w:val="Heading3"/>
      </w:pPr>
      <w:r>
        <w:t xml:space="preserve">Multi-factor authentication to privileged accounts (IA-2(1))</w:t>
      </w:r>
    </w:p>
    <w:p>
      <w:pPr>
        <w:pStyle w:val="Compact"/>
        <w:numPr>
          <w:ilvl w:val="0"/>
          <w:numId w:val="100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multi-factor authentication for access to privileged accounts. (IA-2(1))</w:t>
      </w:r>
    </w:p>
    <w:bookmarkEnd w:id="21"/>
    <w:bookmarkStart w:id="22" w:name="Xc75032c33f8f596a3e4b90536171554e6e5350c"/>
    <w:p>
      <w:pPr>
        <w:pStyle w:val="Heading3"/>
      </w:pPr>
      <w:r>
        <w:t xml:space="preserve">Multi-factor authentication to non-privileged accounts (IA-2(2))</w:t>
      </w:r>
    </w:p>
    <w:p>
      <w:pPr>
        <w:pStyle w:val="Compact"/>
        <w:numPr>
          <w:ilvl w:val="0"/>
          <w:numId w:val="100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multi-factor authentication for access to non-privileged accounts. (IA-2(2))</w:t>
      </w:r>
    </w:p>
    <w:bookmarkEnd w:id="22"/>
    <w:bookmarkStart w:id="23" w:name="Xda8cfb7fa1495b87fd11ec1d3143cf1959a309d"/>
    <w:p>
      <w:pPr>
        <w:pStyle w:val="Heading3"/>
      </w:pPr>
      <w:r>
        <w:t xml:space="preserve">Access to accounts: replay resistant (IA-2(8))</w:t>
      </w:r>
    </w:p>
    <w:p>
      <w:pPr>
        <w:pStyle w:val="Compact"/>
        <w:numPr>
          <w:ilvl w:val="0"/>
          <w:numId w:val="100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replay-resistant authentication mechanisms for access to</w:t>
      </w:r>
      <w:r>
        <w:t xml:space="preserve"> </w:t>
      </w:r>
      <w:r>
        <w:rPr>
          <w:rStyle w:val="Fill-in"/>
        </w:rPr>
        <w:t xml:space="preserve">[Select one or more: privileged accounts; non-privileged accounts. Typical: privileged accounts and non-privileged accounts]</w:t>
      </w:r>
      <w:r>
        <w:t xml:space="preserve">. (IA-2(8))</w:t>
      </w:r>
    </w:p>
    <w:bookmarkEnd w:id="23"/>
    <w:bookmarkStart w:id="26" w:name="acceptance-of-piv-credentials-ia-212"/>
    <w:p>
      <w:pPr>
        <w:pStyle w:val="Heading3"/>
      </w:pPr>
      <w:r>
        <w:t xml:space="preserve">Acceptance of PIV credentials (IA-2(12))</w:t>
      </w:r>
    </w:p>
    <w:p>
      <w:pPr>
        <w:pStyle w:val="Guidance"/>
      </w:pPr>
      <w:r>
        <w:t xml:space="preserve">Personal Identity Verification (PIV) is the U.S. federal smart card credential. An organization outside the federal government meets this enhancement where it relies on PIV or PIV-interoperable credentials; if it uses none, record the enhancement as not applicable in the system security plan with that reason.</w:t>
      </w:r>
    </w:p>
    <w:p>
      <w:pPr>
        <w:pStyle w:val="Compact"/>
        <w:numPr>
          <w:ilvl w:val="0"/>
          <w:numId w:val="1008"/>
        </w:numPr>
      </w:pPr>
      <w:r>
        <w:t xml:space="preserve">Where the organization issues or relies on Personal Identity Verification (PIV)-compliant credentials,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accepts and electronically verifies them. (IA-2(12))</w:t>
      </w:r>
    </w:p>
    <w:bookmarkStart w:id="25" w:name="federal-systems"/>
    <w:p>
      <w:pPr>
        <w:pStyle w:val="Heading4"/>
      </w:pPr>
      <w:r>
        <w:t xml:space="preserve">Federal systems</w:t>
      </w:r>
    </w:p>
    <w:p>
      <w:pPr>
        <w:pStyle w:val="FirstParagraph"/>
      </w:pPr>
      <w:r>
        <w:t xml:space="preserve">Federal employees and contractors are issued PIV credentials under Homeland Security Presidential Directive 12 (HSPD-12) and</w:t>
      </w:r>
      <w:r>
        <w:t xml:space="preserve"> </w:t>
      </w:r>
      <w:hyperlink r:id="rId24">
        <w:r>
          <w:rPr>
            <w:rStyle w:val="Hyperlink"/>
          </w:rPr>
          <w:t xml:space="preserve">FIPS 201-3</w:t>
        </w:r>
      </w:hyperlink>
      <w:r>
        <w:t xml:space="preserve">, Personal Identity Verification (PIV) of Federal Employees and Contractors (January 2022).</w:t>
      </w:r>
    </w:p>
    <w:p>
      <w:pPr>
        <w:pStyle w:val="Compact"/>
        <w:numPr>
          <w:ilvl w:val="0"/>
          <w:numId w:val="100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accepts and electronically verifies PIV credentials for organizational users. (IA-2(12))</w:t>
      </w:r>
    </w:p>
    <w:bookmarkEnd w:id="25"/>
    <w:bookmarkEnd w:id="26"/>
    <w:bookmarkStart w:id="27" w:name="X9592b99f1d56aac523ce860d6c2f7bce370e5f7"/>
    <w:p>
      <w:pPr>
        <w:pStyle w:val="Heading3"/>
      </w:pPr>
      <w:r>
        <w:t xml:space="preserve">Device identification and authentication (IA-3)</w:t>
      </w:r>
    </w:p>
    <w:p>
      <w:pPr>
        <w:pStyle w:val="Compact"/>
        <w:numPr>
          <w:ilvl w:val="0"/>
          <w:numId w:val="1010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uniquely identifies and authenticates</w:t>
      </w:r>
      <w:r>
        <w:t xml:space="preserve"> </w:t>
      </w:r>
      <w:r>
        <w:rPr>
          <w:rStyle w:val="Fill-in"/>
        </w:rPr>
        <w:t xml:space="preserve">[Fill in: devices and/or types of devices to be uniquely identified and authenticated before establishing a connection. Typical: all organization-managed endpoints, servers and network devices]</w:t>
      </w:r>
      <w:r>
        <w:t xml:space="preserve"> </w:t>
      </w:r>
      <w:r>
        <w:t xml:space="preserve">before establishing a</w:t>
      </w:r>
      <w:r>
        <w:t xml:space="preserve"> </w:t>
      </w:r>
      <w:r>
        <w:rPr>
          <w:rStyle w:val="Fill-in"/>
        </w:rPr>
        <w:t xml:space="preserve">[Select one or more: local; remote; network. Typical: remote and network]</w:t>
      </w:r>
      <w:r>
        <w:t xml:space="preserve"> </w:t>
      </w:r>
      <w:r>
        <w:t xml:space="preserve">connection. (IA-3)</w:t>
      </w:r>
    </w:p>
    <w:bookmarkEnd w:id="27"/>
    <w:bookmarkStart w:id="28" w:name="identifier-management-ia-4"/>
    <w:p>
      <w:pPr>
        <w:pStyle w:val="Heading3"/>
      </w:pPr>
      <w:r>
        <w:t xml:space="preserve">Identifier management (IA-4)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assign an individual, group, role, service or device identifier only with authorization from</w:t>
      </w:r>
      <w:r>
        <w:t xml:space="preserve"> </w:t>
      </w:r>
      <w:r>
        <w:rPr>
          <w:rStyle w:val="Fill-in"/>
        </w:rPr>
        <w:t xml:space="preserve">[Fill in: personnel or roles from whom authorization must be received to assign an identifier. Typical: the system owner, through the approved access request]</w:t>
      </w:r>
      <w:r>
        <w:t xml:space="preserve">. (IA-4a)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select an identifier that identifies the individual, group, role, service or device. (IA-4b)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assign the identifier to the intended individual, group, role, service or device. (IA-4c)</w:t>
      </w:r>
    </w:p>
    <w:p>
      <w:pPr>
        <w:pStyle w:val="Compact"/>
        <w:numPr>
          <w:ilvl w:val="0"/>
          <w:numId w:val="101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prevent reuse of identifiers for</w:t>
      </w:r>
      <w:r>
        <w:t xml:space="preserve"> </w:t>
      </w:r>
      <w:r>
        <w:rPr>
          <w:rStyle w:val="Fill-in"/>
        </w:rPr>
        <w:t xml:space="preserve">[Fill in: a time period for preventing reuse of identifiers. Typical: at least two years]</w:t>
      </w:r>
      <w:r>
        <w:t xml:space="preserve">. (IA-4d)</w:t>
      </w:r>
    </w:p>
    <w:bookmarkEnd w:id="28"/>
    <w:bookmarkStart w:id="29" w:name="identify-user-status-ia-44"/>
    <w:p>
      <w:pPr>
        <w:pStyle w:val="Heading3"/>
      </w:pPr>
      <w:r>
        <w:t xml:space="preserve">Identify user status (IA-4(4))</w:t>
      </w:r>
    </w:p>
    <w:p>
      <w:pPr>
        <w:pStyle w:val="Compact"/>
        <w:numPr>
          <w:ilvl w:val="0"/>
          <w:numId w:val="101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manage individual identifiers so that each individual is uniquely identified as</w:t>
      </w:r>
      <w:r>
        <w:t xml:space="preserve"> </w:t>
      </w:r>
      <w:r>
        <w:rPr>
          <w:rStyle w:val="Fill-in"/>
        </w:rPr>
        <w:t xml:space="preserve">[Fill in: characteristics used to identify individual status. Typical: employee, contractor, or foreign national]</w:t>
      </w:r>
      <w:r>
        <w:t xml:space="preserve">. (IA-4(4))</w:t>
      </w:r>
    </w:p>
    <w:bookmarkEnd w:id="29"/>
    <w:bookmarkStart w:id="31" w:name="authenticator-management-ia-5"/>
    <w:p>
      <w:pPr>
        <w:pStyle w:val="Heading3"/>
      </w:pPr>
      <w:r>
        <w:t xml:space="preserve">Authenticator management (IA-5)</w:t>
      </w:r>
    </w:p>
    <w:p>
      <w:pPr>
        <w:pStyle w:val="Guidance"/>
      </w:pPr>
      <w:r>
        <w:t xml:space="preserve">For passwords,</w:t>
      </w:r>
      <w:r>
        <w:t xml:space="preserve"> </w:t>
      </w:r>
      <w:hyperlink r:id="rId30">
        <w:r>
          <w:rPr>
            <w:rStyle w:val="Hyperlink"/>
          </w:rPr>
          <w:t xml:space="preserve">NIST SP 800-63B-4</w:t>
        </w:r>
      </w:hyperlink>
      <w:r>
        <w:t xml:space="preserve"> </w:t>
      </w:r>
      <w:r>
        <w:t xml:space="preserve">(July 2025) says verifiers shall not require periodic changes, and shall force a change when there is evidence of compromise. Set the change periods below by authenticator type, and keep scheduled changes for secrets such as shared or service account keys. The</w:t>
      </w:r>
      <w:r>
        <w:t xml:space="preserve"> </w:t>
      </w:r>
      <w:hyperlink r:id="rId19">
        <w:r>
          <w:rPr>
            <w:rStyle w:val="Hyperlink"/>
          </w:rPr>
          <w:t xml:space="preserve">identification and authentication standard</w:t>
        </w:r>
      </w:hyperlink>
      <w:r>
        <w:t xml:space="preserve"> </w:t>
      </w:r>
      <w:r>
        <w:t xml:space="preserve">carries the procedures these statements call for: identity checks before issue and reset, binding, recovery, loss and revocation.</w:t>
      </w:r>
    </w:p>
    <w:p>
      <w:pPr>
        <w:pStyle w:val="Compact"/>
        <w:numPr>
          <w:ilvl w:val="0"/>
          <w:numId w:val="101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verify the identity of the individual, group, role, service or device receiving an authenticator as part of its initial distribution. (IA-5a)</w:t>
      </w:r>
    </w:p>
    <w:p>
      <w:pPr>
        <w:pStyle w:val="Compact"/>
        <w:numPr>
          <w:ilvl w:val="0"/>
          <w:numId w:val="101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establish the initial content of any authenticator the organization issues. (IA-5b)</w:t>
      </w:r>
    </w:p>
    <w:p>
      <w:pPr>
        <w:pStyle w:val="Compact"/>
        <w:numPr>
          <w:ilvl w:val="0"/>
          <w:numId w:val="101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ensure authenticators have sufficient strength of mechanism for their intended use. (IA-5c)</w:t>
      </w:r>
    </w:p>
    <w:p>
      <w:pPr>
        <w:pStyle w:val="Compact"/>
        <w:numPr>
          <w:ilvl w:val="0"/>
          <w:numId w:val="101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[Chief Information Security Officer]</w:t>
      </w:r>
      <w:r>
        <w:t xml:space="preserve"> </w:t>
      </w:r>
      <w:r>
        <w:t xml:space="preserve">shall establish administrative procedures for initial authenticator distribution, for lost, compromised or damaged authenticators, and for revoking authenticators. (IA-5d)</w:t>
      </w:r>
    </w:p>
    <w:p>
      <w:pPr>
        <w:pStyle w:val="Compact"/>
        <w:numPr>
          <w:ilvl w:val="0"/>
          <w:numId w:val="101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implement those procedures. (IA-5d)</w:t>
      </w:r>
    </w:p>
    <w:p>
      <w:pPr>
        <w:pStyle w:val="Compact"/>
        <w:numPr>
          <w:ilvl w:val="0"/>
          <w:numId w:val="101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default authenticators are changed before first use. (IA-5e)</w:t>
      </w:r>
    </w:p>
    <w:p>
      <w:pPr>
        <w:pStyle w:val="Compact"/>
        <w:numPr>
          <w:ilvl w:val="0"/>
          <w:numId w:val="101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change or refresh authenticators as follows:</w:t>
      </w:r>
      <w:r>
        <w:t xml:space="preserve"> </w:t>
      </w:r>
      <w:r>
        <w:rPr>
          <w:rStyle w:val="Fill-in"/>
        </w:rPr>
        <w:t xml:space="preserve">[Fill in: a time period for changing or refreshing authenticators by authenticator type. Typical: no scheduled change for user passwords; certificates at expiry; shared and service account secrets at least annually]</w:t>
      </w:r>
      <w:r>
        <w:t xml:space="preserve">. (IA-5f)</w:t>
      </w:r>
    </w:p>
    <w:p>
      <w:pPr>
        <w:pStyle w:val="Compact"/>
        <w:numPr>
          <w:ilvl w:val="0"/>
          <w:numId w:val="101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change or refresh authenticators when</w:t>
      </w:r>
      <w:r>
        <w:t xml:space="preserve"> </w:t>
      </w:r>
      <w:r>
        <w:rPr>
          <w:rStyle w:val="Fill-in"/>
        </w:rPr>
        <w:t xml:space="preserve">[Fill in: events that trigger the change or refreshment of authenticators. Typical: evidence or suspicion of compromise, and departure of a person who knew a shared authenticator]</w:t>
      </w:r>
      <w:r>
        <w:t xml:space="preserve"> </w:t>
      </w:r>
      <w:r>
        <w:t xml:space="preserve">occur. (IA-5f)</w:t>
      </w:r>
    </w:p>
    <w:p>
      <w:pPr>
        <w:pStyle w:val="Compact"/>
        <w:numPr>
          <w:ilvl w:val="0"/>
          <w:numId w:val="101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protect authenticator content from unauthorized disclosure and modification. (IA-5g)</w:t>
      </w:r>
    </w:p>
    <w:p>
      <w:pPr>
        <w:pStyle w:val="Compact"/>
        <w:numPr>
          <w:ilvl w:val="0"/>
          <w:numId w:val="1013"/>
        </w:numPr>
      </w:pPr>
      <w:r>
        <w:t xml:space="preserve">Users shall protect their authenticators as the rules of behavior require. (IA-5h)</w:t>
      </w:r>
    </w:p>
    <w:p>
      <w:pPr>
        <w:pStyle w:val="Compact"/>
        <w:numPr>
          <w:ilvl w:val="0"/>
          <w:numId w:val="101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devices implement the controls that protect authenticators. (IA-5h)</w:t>
      </w:r>
    </w:p>
    <w:p>
      <w:pPr>
        <w:pStyle w:val="Compact"/>
        <w:numPr>
          <w:ilvl w:val="0"/>
          <w:numId w:val="101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change the authenticators of group or role accounts when membership of those accounts changes. (IA-5i)</w:t>
      </w:r>
    </w:p>
    <w:bookmarkEnd w:id="31"/>
    <w:bookmarkStart w:id="32" w:name="password-based-authentication-ia-51"/>
    <w:p>
      <w:pPr>
        <w:pStyle w:val="Heading3"/>
      </w:pPr>
      <w:r>
        <w:t xml:space="preserve">Password-based authentication (IA-5(1))</w:t>
      </w:r>
    </w:p>
    <w:p>
      <w:pPr>
        <w:pStyle w:val="Guidance"/>
      </w:pPr>
      <w:r>
        <w:t xml:space="preserve">The typical values follow</w:t>
      </w:r>
      <w:r>
        <w:t xml:space="preserve"> </w:t>
      </w:r>
      <w:hyperlink r:id="rId30">
        <w:r>
          <w:rPr>
            <w:rStyle w:val="Hyperlink"/>
          </w:rPr>
          <w:t xml:space="preserve">NIST SP 800-63B-4</w:t>
        </w:r>
      </w:hyperlink>
      <w:r>
        <w:t xml:space="preserve"> </w:t>
      </w:r>
      <w:r>
        <w:t xml:space="preserve">(July 2025): a minimum of 15 characters for a password used alone and 8 when it is one factor of several, no other composition rules, at least 64 characters allowed, and a check against a list of common and breached passwords. Section 7 of the</w:t>
      </w:r>
      <w:r>
        <w:t xml:space="preserve"> </w:t>
      </w:r>
      <w:hyperlink r:id="rId19">
        <w:r>
          <w:rPr>
            <w:rStyle w:val="Hyperlink"/>
          </w:rPr>
          <w:t xml:space="preserve">identification and authentication standard</w:t>
        </w:r>
      </w:hyperlink>
      <w:r>
        <w:t xml:space="preserve"> </w:t>
      </w:r>
      <w:r>
        <w:t xml:space="preserve">sets out the full password rules.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maintain a list of commonly used, expected or compromised passwords, and update it</w:t>
      </w:r>
      <w:r>
        <w:t xml:space="preserve"> </w:t>
      </w:r>
      <w:r>
        <w:rPr>
          <w:rStyle w:val="Fill-in"/>
        </w:rPr>
        <w:t xml:space="preserve">[Fill in: the frequency at which to update the list of commonly used, expected, or compromised passwords. Typical: at least monthly, and whenever a relevant breach corpus is published]</w:t>
      </w:r>
      <w:r>
        <w:t xml:space="preserve"> </w:t>
      </w:r>
      <w:r>
        <w:t xml:space="preserve">and when organizational passwords are suspected to have been compromised. (IA-5(1)(a))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verifies, when users create or update passwords, that the passwords are not on that list. (IA-5(1)(b))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passwords are transmitted only over cryptographically protected channels. (IA-5(1)(c))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passwords are stored using an approved salted key derivation function, preferably using a keyed hash. (IA-5(1)(d))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requires immediate selection of a new password upon account recovery. (IA-5(1)(e))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allows long passwords and passphrases, including spaces and all printable characters. (IA-5(1)(f))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employ automated tools to help users select strong passwords. (IA-5(1)(g))</w:t>
      </w:r>
    </w:p>
    <w:p>
      <w:pPr>
        <w:pStyle w:val="Compact"/>
        <w:numPr>
          <w:ilvl w:val="0"/>
          <w:numId w:val="101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enforces these composition and complexity rules:</w:t>
      </w:r>
      <w:r>
        <w:t xml:space="preserve"> </w:t>
      </w:r>
      <w:r>
        <w:rPr>
          <w:rStyle w:val="Fill-in"/>
        </w:rPr>
        <w:t xml:space="preserve">[Fill in: authenticator composition and complexity rules. Typical: a minimum length of 15 characters for passwords used as the only factor and 8 for passwords used with another factor, and no other composition rules]</w:t>
      </w:r>
      <w:r>
        <w:t xml:space="preserve">. (IA-5(1)(h))</w:t>
      </w:r>
    </w:p>
    <w:bookmarkEnd w:id="32"/>
    <w:bookmarkStart w:id="33" w:name="public-key-based-authentication-ia-52"/>
    <w:p>
      <w:pPr>
        <w:pStyle w:val="Heading3"/>
      </w:pPr>
      <w:r>
        <w:t xml:space="preserve">Public key-based authentication (IA-5(2))</w:t>
      </w:r>
    </w:p>
    <w:p>
      <w:pPr>
        <w:pStyle w:val="Compact"/>
        <w:numPr>
          <w:ilvl w:val="0"/>
          <w:numId w:val="1015"/>
        </w:numPr>
      </w:pPr>
      <w:r>
        <w:t xml:space="preserve">For public key-based authentication,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enforces authorized access to the corresponding private key. (IA-5(2)(a)(1))</w:t>
      </w:r>
    </w:p>
    <w:p>
      <w:pPr>
        <w:pStyle w:val="Compact"/>
        <w:numPr>
          <w:ilvl w:val="0"/>
          <w:numId w:val="1015"/>
        </w:numPr>
      </w:pPr>
      <w:r>
        <w:t xml:space="preserve">For public key-based authentication,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maps the authenticated identity to the account of the individual or group. (IA-5(2)(a)(2))</w:t>
      </w:r>
    </w:p>
    <w:p>
      <w:pPr>
        <w:pStyle w:val="Compact"/>
        <w:numPr>
          <w:ilvl w:val="0"/>
          <w:numId w:val="1015"/>
        </w:numPr>
      </w:pPr>
      <w:r>
        <w:t xml:space="preserve">When public key infrastructure is used,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validates certificates by constructing and verifying a certification path to an accepted trust anchor, including checking certificate status. (IA-5(2)(b)(1))</w:t>
      </w:r>
    </w:p>
    <w:p>
      <w:pPr>
        <w:pStyle w:val="Compact"/>
        <w:numPr>
          <w:ilvl w:val="0"/>
          <w:numId w:val="1015"/>
        </w:numPr>
      </w:pPr>
      <w:r>
        <w:t xml:space="preserve">When public key infrastructure is used,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keeps a local cache of revocation data to support path discovery and validation. (IA-5(2)(b)(2))</w:t>
      </w:r>
    </w:p>
    <w:bookmarkEnd w:id="33"/>
    <w:bookmarkStart w:id="34" w:name="protection-of-authenticators-ia-56"/>
    <w:p>
      <w:pPr>
        <w:pStyle w:val="Heading3"/>
      </w:pPr>
      <w:r>
        <w:t xml:space="preserve">Protection of authenticators (IA-5(6))</w:t>
      </w:r>
    </w:p>
    <w:p>
      <w:pPr>
        <w:pStyle w:val="Compact"/>
        <w:numPr>
          <w:ilvl w:val="0"/>
          <w:numId w:val="101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protect authenticators commensurate with the security category of the information that their use gives access to. (IA-5(6))</w:t>
      </w:r>
    </w:p>
    <w:bookmarkEnd w:id="34"/>
    <w:bookmarkStart w:id="35" w:name="authentication-feedback-ia-6"/>
    <w:p>
      <w:pPr>
        <w:pStyle w:val="Heading3"/>
      </w:pPr>
      <w:r>
        <w:t xml:space="preserve">Authentication feedback (IA-6)</w:t>
      </w:r>
    </w:p>
    <w:p>
      <w:pPr>
        <w:pStyle w:val="Compact"/>
        <w:numPr>
          <w:ilvl w:val="0"/>
          <w:numId w:val="101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obscures feedback of authentication information during authentication, so it cannot be exploited by unauthorized individuals. (IA-6)</w:t>
      </w:r>
    </w:p>
    <w:bookmarkEnd w:id="35"/>
    <w:bookmarkStart w:id="36" w:name="cryptographic-module-authentication-ia-7"/>
    <w:p>
      <w:pPr>
        <w:pStyle w:val="Heading3"/>
      </w:pPr>
      <w:r>
        <w:t xml:space="preserve">Cryptographic module authentication (IA-7)</w:t>
      </w:r>
    </w:p>
    <w:p>
      <w:pPr>
        <w:pStyle w:val="Compact"/>
        <w:numPr>
          <w:ilvl w:val="0"/>
          <w:numId w:val="101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implement mechanisms for authentication to a cryptographic module that meet the laws, executive orders, directives, policies, regulations, standards and guidelines that apply to such authentication. (IA-7)</w:t>
      </w:r>
    </w:p>
    <w:bookmarkEnd w:id="36"/>
    <w:bookmarkStart w:id="37" w:name="X2b07957ea80570e9ead57d83aaa3033ad09a62b"/>
    <w:p>
      <w:pPr>
        <w:pStyle w:val="Heading3"/>
      </w:pPr>
      <w:r>
        <w:t xml:space="preserve">Identification and authentication (non-organizational users) (IA-8)</w:t>
      </w:r>
    </w:p>
    <w:p>
      <w:pPr>
        <w:pStyle w:val="Compact"/>
        <w:numPr>
          <w:ilvl w:val="0"/>
          <w:numId w:val="1019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uniquely identifies and authenticates non-organizational users and processes acting on their behalf. (IA-8)</w:t>
      </w:r>
    </w:p>
    <w:bookmarkEnd w:id="37"/>
    <w:bookmarkStart w:id="38" w:name="Xb563bcad0b4a0efea7541087a3ea4f0d3f95d18"/>
    <w:p>
      <w:pPr>
        <w:pStyle w:val="Heading3"/>
      </w:pPr>
      <w:r>
        <w:t xml:space="preserve">Acceptance of PIV credentials from other agencies (IA-8(1))</w:t>
      </w:r>
    </w:p>
    <w:p>
      <w:pPr>
        <w:pStyle w:val="Guidance"/>
      </w:pPr>
      <w:r>
        <w:t xml:space="preserve">This enhancement applies where federal employees or contractors from other agencies use the system. Outside that case, record it as not applicable in the system security plan with that reason.</w:t>
      </w:r>
    </w:p>
    <w:p>
      <w:pPr>
        <w:pStyle w:val="Compact"/>
        <w:numPr>
          <w:ilvl w:val="0"/>
          <w:numId w:val="1020"/>
        </w:numPr>
      </w:pPr>
      <w:r>
        <w:t xml:space="preserve">Where users from federal agencies access the system, 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it accepts and electronically verifies their Personal Identity Verification (PIV)-compliant credentials. (IA-8(1))</w:t>
      </w:r>
    </w:p>
    <w:bookmarkEnd w:id="38"/>
    <w:bookmarkStart w:id="39" w:name="X4af41985cb0e1b65f5499d6e4b647301fad28a4"/>
    <w:p>
      <w:pPr>
        <w:pStyle w:val="Heading3"/>
      </w:pPr>
      <w:r>
        <w:t xml:space="preserve">Acceptance of external authenticators (IA-8(2))</w:t>
      </w:r>
    </w:p>
    <w:p>
      <w:pPr>
        <w:pStyle w:val="Compact"/>
        <w:numPr>
          <w:ilvl w:val="0"/>
          <w:numId w:val="102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accepts only external authenticators that are NIST-compliant, such as those meeting</w:t>
      </w:r>
      <w:r>
        <w:t xml:space="preserve"> </w:t>
      </w:r>
      <w:hyperlink r:id="rId30">
        <w:r>
          <w:rPr>
            <w:rStyle w:val="Hyperlink"/>
          </w:rPr>
          <w:t xml:space="preserve">NIST SP 800-63B-4</w:t>
        </w:r>
      </w:hyperlink>
      <w:r>
        <w:t xml:space="preserve"> </w:t>
      </w:r>
      <w:r>
        <w:t xml:space="preserve">(July 2025). (IA-8(2)(a))</w:t>
      </w:r>
    </w:p>
    <w:p>
      <w:pPr>
        <w:pStyle w:val="Compact"/>
        <w:numPr>
          <w:ilvl w:val="0"/>
          <w:numId w:val="1021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document and maintain a list of accepted external authenticators. (IA-8(2)(b))</w:t>
      </w:r>
    </w:p>
    <w:bookmarkEnd w:id="39"/>
    <w:bookmarkStart w:id="40" w:name="use-of-defined-profiles-ia-84"/>
    <w:p>
      <w:pPr>
        <w:pStyle w:val="Heading3"/>
      </w:pPr>
      <w:r>
        <w:t xml:space="preserve">Use of defined profiles (IA-8(4))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conforms to</w:t>
      </w:r>
      <w:r>
        <w:t xml:space="preserve"> </w:t>
      </w:r>
      <w:r>
        <w:rPr>
          <w:rStyle w:val="Fill-in"/>
        </w:rPr>
        <w:t xml:space="preserve">[Fill in: identity management profiles. Typical: the federation profiles the organization publishes for its identity provider, such as SAML 2.0 or OpenID Connect]</w:t>
      </w:r>
      <w:r>
        <w:t xml:space="preserve"> </w:t>
      </w:r>
      <w:r>
        <w:t xml:space="preserve">for identity management. (IA-8(4))</w:t>
      </w:r>
    </w:p>
    <w:bookmarkEnd w:id="40"/>
    <w:bookmarkStart w:id="41" w:name="re-authentication-ia-11"/>
    <w:p>
      <w:pPr>
        <w:pStyle w:val="Heading3"/>
      </w:pPr>
      <w:r>
        <w:t xml:space="preserve">Re-authentication (IA-11)</w:t>
      </w:r>
    </w:p>
    <w:p>
      <w:pPr>
        <w:pStyle w:val="Compact"/>
        <w:numPr>
          <w:ilvl w:val="0"/>
          <w:numId w:val="1023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[System owner]</w:t>
      </w:r>
      <w:r>
        <w:t xml:space="preserve"> </w:t>
      </w:r>
      <w:r>
        <w:t xml:space="preserve">shall ensure the system requires users to re-authenticate when</w:t>
      </w:r>
      <w:r>
        <w:t xml:space="preserve"> </w:t>
      </w:r>
      <w:r>
        <w:rPr>
          <w:rStyle w:val="Fill-in"/>
        </w:rPr>
        <w:t xml:space="preserve">[Fill in: circumstances or situations requiring re-authentication. Typical: a session timeout, a change of role or privilege, a privileged action, or a change of authenticators]</w:t>
      </w:r>
      <w:r>
        <w:t xml:space="preserve">. (IA-11)</w:t>
      </w:r>
    </w:p>
    <w:bookmarkEnd w:id="41"/>
    <w:bookmarkStart w:id="42" w:name="identity-proofing-ia-12"/>
    <w:p>
      <w:pPr>
        <w:pStyle w:val="Heading3"/>
      </w:pPr>
      <w:r>
        <w:t xml:space="preserve">Identity proofing (IA-12)</w:t>
      </w:r>
    </w:p>
    <w:p>
      <w:pPr>
        <w:pStyle w:val="Compact"/>
        <w:numPr>
          <w:ilvl w:val="0"/>
          <w:numId w:val="102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identity proof users who require accounts for logical access, at the identity assurance level the applicable standards require, such as the NIST SP 800-63-4 digital identity guidelines. (IA-12a)</w:t>
      </w:r>
    </w:p>
    <w:p>
      <w:pPr>
        <w:pStyle w:val="Compact"/>
        <w:numPr>
          <w:ilvl w:val="0"/>
          <w:numId w:val="102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resolve each user identity to a unique individual. (IA-12b)</w:t>
      </w:r>
    </w:p>
    <w:p>
      <w:pPr>
        <w:pStyle w:val="Compact"/>
        <w:numPr>
          <w:ilvl w:val="0"/>
          <w:numId w:val="1024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collect, validate and verify identity evidence. (IA-12c)</w:t>
      </w:r>
    </w:p>
    <w:bookmarkEnd w:id="42"/>
    <w:bookmarkStart w:id="43" w:name="identity-evidence-ia-122"/>
    <w:p>
      <w:pPr>
        <w:pStyle w:val="Heading3"/>
      </w:pPr>
      <w:r>
        <w:t xml:space="preserve">Identity evidence (IA-12(2))</w:t>
      </w:r>
    </w:p>
    <w:p>
      <w:pPr>
        <w:pStyle w:val="Compact"/>
        <w:numPr>
          <w:ilvl w:val="0"/>
          <w:numId w:val="1025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require evidence of individual identification to be presented to the registration authority. (IA-12(2))</w:t>
      </w:r>
    </w:p>
    <w:bookmarkEnd w:id="43"/>
    <w:bookmarkStart w:id="44" w:name="Xdc88bc576340bc5619ea1313324889fc30d5741"/>
    <w:p>
      <w:pPr>
        <w:pStyle w:val="Heading3"/>
      </w:pPr>
      <w:r>
        <w:t xml:space="preserve">Identity evidence validation and verification (IA-12(3))</w:t>
      </w:r>
    </w:p>
    <w:p>
      <w:pPr>
        <w:pStyle w:val="Compact"/>
        <w:numPr>
          <w:ilvl w:val="0"/>
          <w:numId w:val="1026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require presented identity evidence to be validated and verified through</w:t>
      </w:r>
      <w:r>
        <w:t xml:space="preserve"> </w:t>
      </w:r>
      <w:r>
        <w:rPr>
          <w:rStyle w:val="Fill-in"/>
        </w:rPr>
        <w:t xml:space="preserve">[Fill in: methods of validation and verification of identity evidence. Typical: checking the evidence against its issuing or an authoritative source, and confirming the applicant is the person it describes]</w:t>
      </w:r>
      <w:r>
        <w:t xml:space="preserve">. (IA-12(3))</w:t>
      </w:r>
    </w:p>
    <w:bookmarkEnd w:id="44"/>
    <w:bookmarkStart w:id="45" w:name="address-confirmation-ia-125"/>
    <w:p>
      <w:pPr>
        <w:pStyle w:val="Heading3"/>
      </w:pPr>
      <w:r>
        <w:t xml:space="preserve">Address confirmation (IA-12(5))</w:t>
      </w:r>
    </w:p>
    <w:p>
      <w:pPr>
        <w:pStyle w:val="Compact"/>
        <w:numPr>
          <w:ilvl w:val="0"/>
          <w:numId w:val="1027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[Account manager]</w:t>
      </w:r>
      <w:r>
        <w:t xml:space="preserve"> </w:t>
      </w:r>
      <w:r>
        <w:t xml:space="preserve">shall require a</w:t>
      </w:r>
      <w:r>
        <w:t xml:space="preserve"> </w:t>
      </w:r>
      <w:r>
        <w:rPr>
          <w:rStyle w:val="Fill-in"/>
        </w:rPr>
        <w:t xml:space="preserve">[Select one: registration code; notice of proofing. Typical: registration code]</w:t>
      </w:r>
      <w:r>
        <w:t xml:space="preserve"> </w:t>
      </w:r>
      <w:r>
        <w:t xml:space="preserve">to be delivered through an out-of-band channel to verify the user’s address of record, physical or digital. (IA-12(5))</w:t>
      </w:r>
    </w:p>
    <w:bookmarkEnd w:id="45"/>
    <w:bookmarkEnd w:id="46"/>
    <w:bookmarkStart w:id="50" w:name="review-and-update"/>
    <w:p>
      <w:pPr>
        <w:pStyle w:val="Heading2"/>
      </w:pPr>
      <w:r>
        <w:t xml:space="preserve">Review and update</w:t>
      </w:r>
    </w:p>
    <w:p>
      <w:pPr>
        <w:pStyle w:val="Compact"/>
        <w:numPr>
          <w:ilvl w:val="0"/>
          <w:numId w:val="102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identification and authentication policy and procedures. Typical: Chief Information Security Officer]</w:t>
      </w:r>
      <w:r>
        <w:t xml:space="preserve"> </w:t>
      </w:r>
      <w:r>
        <w:t xml:space="preserve">shall review and update this policy</w:t>
      </w:r>
      <w:r>
        <w:t xml:space="preserve"> </w:t>
      </w:r>
      <w:r>
        <w:rPr>
          <w:rStyle w:val="Fill-in"/>
        </w:rPr>
        <w:t xml:space="preserve">[Fill in: the frequency at which the current identification and authentication policy is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the current identification and authentication policy to be reviewed and updated. Typical: assessment or audit findings, security incidents or breaches, and changes in applicable laws, executive orders, directives, regulations, policies, standards or guidelines]</w:t>
      </w:r>
      <w:r>
        <w:t xml:space="preserve">. (IA-1c.1)</w:t>
      </w:r>
    </w:p>
    <w:p>
      <w:pPr>
        <w:pStyle w:val="Compact"/>
        <w:numPr>
          <w:ilvl w:val="0"/>
          <w:numId w:val="1028"/>
        </w:numPr>
      </w:pPr>
      <w:r>
        <w:t xml:space="preserve">The</w:t>
      </w:r>
      <w:r>
        <w:t xml:space="preserve"> </w:t>
      </w:r>
      <w:r>
        <w:rPr>
          <w:rStyle w:val="Fill-in"/>
        </w:rPr>
        <w:t xml:space="preserve">[Fill in: an official to manage the identification and authentication policy and procedures. Typical: Chief Information Security Officer]</w:t>
      </w:r>
      <w:r>
        <w:t xml:space="preserve"> </w:t>
      </w:r>
      <w:r>
        <w:t xml:space="preserve">shall review and update the procedures that implement this policy</w:t>
      </w:r>
      <w:r>
        <w:t xml:space="preserve"> </w:t>
      </w:r>
      <w:r>
        <w:rPr>
          <w:rStyle w:val="Fill-in"/>
        </w:rPr>
        <w:t xml:space="preserve">[Fill in: the frequency at which the current identification and authentication procedures are reviewed and updated. Typical: annually]</w:t>
      </w:r>
      <w:r>
        <w:t xml:space="preserve"> </w:t>
      </w:r>
      <w:r>
        <w:t xml:space="preserve">and following</w:t>
      </w:r>
      <w:r>
        <w:t xml:space="preserve"> </w:t>
      </w:r>
      <w:r>
        <w:rPr>
          <w:rStyle w:val="Fill-in"/>
        </w:rPr>
        <w:t xml:space="preserve">[Fill in: events that would require identification and authentication procedures to be reviewed and updated. Typical: the same events as the policy, and changes to the systems, tools or services the procedures describe]</w:t>
      </w:r>
      <w:r>
        <w:t xml:space="preserve">. (IA-1c.2)</w:t>
      </w:r>
    </w:p>
    <w:bookmarkStart w:id="49" w:name="federal-systems-1"/>
    <w:p>
      <w:pPr>
        <w:pStyle w:val="Heading3"/>
      </w:pPr>
      <w:r>
        <w:t xml:space="preserve">Federal systems</w:t>
      </w:r>
    </w:p>
    <w:p>
      <w:pPr>
        <w:pStyle w:val="FirstParagraph"/>
      </w:pPr>
      <w:r>
        <w:t xml:space="preserve">For federal information systems, this policy also carries out the agency’s information security responsibilities under the Federal Information Security Modernization Act of 2014 (</w:t>
      </w:r>
      <w:hyperlink r:id="rId47">
        <w:r>
          <w:rPr>
            <w:rStyle w:val="Hyperlink"/>
          </w:rPr>
          <w:t xml:space="preserve">44 U.S.C. § 3554</w:t>
        </w:r>
      </w:hyperlink>
      <w:r>
        <w:t xml:space="preserve">, Federal agency responsibilities) and</w:t>
      </w:r>
      <w:r>
        <w:t xml:space="preserve"> </w:t>
      </w:r>
      <w:hyperlink r:id="rId48">
        <w:r>
          <w:rPr>
            <w:rStyle w:val="Hyperlink"/>
          </w:rPr>
          <w:t xml:space="preserve">OMB Circular A-130</w:t>
        </w:r>
      </w:hyperlink>
      <w:r>
        <w:t xml:space="preserve">, Appendix I, Responsibilities for Protecting and Managing Federal Information Resources.</w:t>
      </w:r>
    </w:p>
    <w:p>
      <w:pPr>
        <w:pStyle w:val="Compact"/>
        <w:numPr>
          <w:ilvl w:val="0"/>
          <w:numId w:val="1029"/>
        </w:numPr>
      </w:pPr>
      <w:r>
        <w:t xml:space="preserve">Where the agency’s organization-wide policy sets a value for a parameter in this policy, each system shall use that value or a stricter one. (IA-1a.1(b))</w:t>
      </w:r>
    </w:p>
    <w:bookmarkEnd w:id="49"/>
    <w:bookmarkEnd w:id="50"/>
    <w:bookmarkEnd w:id="51"/>
    <w:sectPr>
      <w:headerReference r:id="rIdPres06Header" w:type="default"/>
      <w:footerReference r:id="rIdPres06Footer" w:type="default"/>
      <w:footnotePr>
        <w:numRestart w:val="eachSect"/>
      </w:footnotePr>
      <w:pgSz w:h="15840" w:w="12240"/>
      <w:pgMar w:bottom="1440" w:footer="720" w:gutter="0" w:header="720" w:left="1440" w:right="1440" w:top="144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</w:pPr>
    <w:r>
      <w:t xml:space="preserve">Page </w:t>
    </w:r>
    <w:fldSimple w:instr=" PAGE ">
      <w:r>
        <w:t xml:space="preserve">1</w:t>
      </w:r>
    </w:fldSimple>
    <w:r>
      <w:t xml:space="preserve"> of </w:t>
    </w:r>
    <w:fldSimple w:instr=" NUMPAGES ">
      <w:r>
        <w:t xml:space="preserve">1</w:t>
      </w:r>
    </w:fldSimple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="http://schemas.openxmlformats.org/wordprocessingml/2006/main" xmlns:r="http://schemas.openxmlformats.org/officeDocument/2006/relationships">
  <w:p>
    <w:pPr>
      <w:pStyle w:val="Header"/>
    </w:pPr>
    <w:r>
      <w:t xml:space="preserve">Identification and Authentication Policy</w:t>
    </w:r>
    <w:r>
      <w:tab/>
    </w:r>
    <w:r>
      <w:t xml:space="preserve">Version 1.0.0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Theme="minorEastAsia" w:hAnsi="Calibri"/>
        <w:sz w:val="22"/>
        <w:szCs w:val="22"/>
        <w:lang w:bidi="ar-SA" w:eastAsia="zh-CN" w:val="en-US"/>
      </w:rPr>
    </w:rPrDefault>
    <w:pPrDefault>
      <w:pPr>
        <w:spacing w:after="120" w:line="264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60" w:before="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pPr>
      <w:spacing w:after="240"/>
      <w:contextualSpacing/>
    </w:pPr>
    <w:rPr>
      <w:rFonts w:ascii="Georgia" w:cs="Georgia" w:eastAsiaTheme="minorEastAsia" w:hAnsi="Georgia"/>
      <w:color w:val="0F5C5A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pPr>
      <w:keepNext/>
      <w:keepLines/>
      <w:spacing w:after="120" w:before="360"/>
      <w:outlineLvl w:val="0"/>
    </w:pPr>
    <w:rPr>
      <w:rFonts w:ascii="Georgia" w:cs="Georgia" w:eastAsiaTheme="minorEastAsia" w:hAnsi="Georgia"/>
      <w:color w:val="0F5C5A"/>
      <w:sz w:val="36"/>
      <w:szCs w:val="36"/>
    </w:rPr>
  </w:style>
  <w:style w:styleId="Heading2" w:type="paragraph">
    <w:name w:val="heading 2"/>
    <w:basedOn w:val="Normal"/>
    <w:next w:val="BodyText"/>
    <w:link w:val="Heading2Char"/>
    <w:uiPriority w:val="9"/>
    <w:qFormat/>
    <w:pPr>
      <w:keepNext/>
      <w:keepLines/>
      <w:spacing w:after="100" w:before="300"/>
      <w:outlineLvl w:val="1"/>
    </w:pPr>
    <w:rPr>
      <w:rFonts w:ascii="Georgia" w:cs="Georgia" w:eastAsiaTheme="minorEastAsia" w:hAnsi="Georgia"/>
      <w:color w:val="0F5C5A"/>
      <w:sz w:val="28"/>
      <w:szCs w:val="28"/>
    </w:rPr>
  </w:style>
  <w:style w:styleId="Heading3" w:type="paragraph">
    <w:name w:val="heading 3"/>
    <w:basedOn w:val="Normal"/>
    <w:next w:val="BodyText"/>
    <w:link w:val="Heading3Char"/>
    <w:uiPriority w:val="9"/>
    <w:qFormat/>
    <w:pPr>
      <w:keepNext/>
      <w:keepLines/>
      <w:spacing w:after="80" w:before="240"/>
      <w:outlineLvl w:val="2"/>
    </w:pPr>
    <w:rPr>
      <w:rFonts w:ascii="Georgia" w:cs="Georgia" w:eastAsiaTheme="minorEastAsia" w:hAnsi="Georgia"/>
      <w:b/>
      <w:bCs/>
      <w:color w:val="093A39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qFormat/>
    <w:pPr>
      <w:keepNext/>
      <w:keepLines/>
      <w:spacing w:after="60" w:before="200"/>
      <w:outlineLvl w:val="3"/>
    </w:pPr>
    <w:rPr>
      <w:rFonts w:ascii="Calibri" w:cs="Calibri" w:eastAsiaTheme="minorEastAsia" w:hAnsi="Calibri"/>
      <w:b/>
      <w:bCs/>
      <w:color w:val="093A39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pPr>
      <w:spacing w:after="0" w:before="0"/>
    </w:pPr>
    <w:rPr>
      <w:sz w:val="20"/>
      <w:szCs w:val="20"/>
    </w:rPr>
    <w:tblPr>
      <w:tblInd w:type="dxa" w:w="0"/>
      <w:tblBorders>
        <w:top w:color="BFBFBF" w:space="0" w:sz="4" w:val="single"/>
        <w:left w:color="BFBFBF" w:space="0" w:sz="4" w:val="single"/>
        <w:bottom w:color="BFBFBF" w:space="0" w:sz="4" w:val="single"/>
        <w:right w:color="BFBFBF" w:space="0" w:sz="4" w:val="single"/>
        <w:insideH w:color="BFBFBF" w:space="0" w:sz="4" w:val="single"/>
        <w:insideV w:color="BFBFBF" w:space="0" w:sz="4" w:val="single"/>
      </w:tblBorders>
      <w:tblCellMar>
        <w:top w:type="dxa" w:w="60"/>
        <w:left w:type="dxa" w:w="108"/>
        <w:bottom w:type="dxa" w:w="60"/>
        <w:right w:type="dxa" w:w="108"/>
      </w:tblCellMar>
    </w:tblPr>
    <w:tblStylePr w:type="firstRow">
      <w:rPr>
        <w:b/>
        <w:bCs/>
        <w:color w:val="FFFFFF"/>
      </w:rPr>
      <w:tcPr>
        <w:shd w:color="auto" w:fill="0F5C5A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0F5C5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Fill-in" w:type="character">
    <w:name w:val="Fill-in"/>
    <w:rPr>
      <w:highlight w:val="yellow"/>
    </w:rPr>
  </w:style>
  <w:style w:customStyle="1" w:styleId="Guidance" w:type="paragraph">
    <w:name w:val="Guidance"/>
    <w:basedOn w:val="Normal"/>
    <w:qFormat/>
    <w:pPr>
      <w:pBdr>
        <w:left w:color="0F5C5A" w:space="8" w:sz="18" w:val="single"/>
      </w:pBdr>
      <w:shd w:color="auto" w:fill="EAF4F3" w:val="clear"/>
      <w:ind w:left="284"/>
    </w:pPr>
    <w:rPr>
      <w:i/>
    </w:rPr>
  </w:style>
  <w:style w:styleId="Header" w:type="paragraph">
    <w:name w:val="header"/>
    <w:basedOn w:val="Normal"/>
    <w:uiPriority w:val="99"/>
    <w:unhideWhenUsed/>
    <w:pPr>
      <w:pBdr>
        <w:bottom w:color="0F5C5A" w:space="4" w:sz="4" w:val="single"/>
      </w:pBdr>
      <w:tabs>
        <w:tab w:pos="9360" w:val="right"/>
      </w:tabs>
      <w:spacing w:after="0"/>
    </w:pPr>
    <w:rPr>
      <w:color w:val="595959"/>
      <w:sz w:val="18"/>
      <w:szCs w:val="18"/>
    </w:rPr>
  </w:style>
  <w:style w:styleId="Footer" w:type="paragraph">
    <w:name w:val="footer"/>
    <w:basedOn w:val="Normal"/>
    <w:uiPriority w:val="99"/>
    <w:unhideWhenUsed/>
    <w:pPr>
      <w:jc w:val="center"/>
      <w:spacing w:after="0"/>
    </w:pPr>
    <w:rPr>
      <w:color w:val="595959"/>
      <w:sz w:val="18"/>
      <w:szCs w:val="18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Pres06Header" Target="header1.xml" Type="http://schemas.openxmlformats.org/officeDocument/2006/relationships/header" /><Relationship Id="rIdPres06Footer" Target="footer1.xml" Type="http://schemas.openxmlformats.org/officeDocument/2006/relationships/footer" /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24" Target="https://csrc.nist.gov/pubs/fips/201-3/final" TargetMode="External" /><Relationship Type="http://schemas.openxmlformats.org/officeDocument/2006/relationships/hyperlink" Id="rId30" Target="https://csrc.nist.gov/pubs/sp/800/63/b/4/final" TargetMode="External" /><Relationship Type="http://schemas.openxmlformats.org/officeDocument/2006/relationships/hyperlink" Id="rId9" Target="https://kston83.github.io/nist-guide/templates/policies/ia/" TargetMode="External" /><Relationship Type="http://schemas.openxmlformats.org/officeDocument/2006/relationships/hyperlink" Id="rId19" Target="https://kston83.github.io/nist-guide/templates/standards/identification-and-authentication-standard/" TargetMode="External" /><Relationship Type="http://schemas.openxmlformats.org/officeDocument/2006/relationships/hyperlink" Id="rId47" Target="https://uscode.house.gov/view.xhtml?req=granuleid:USC-prelim-title44-section3554&amp;num=0&amp;edition=prelim" TargetMode="External" /><Relationship Type="http://schemas.openxmlformats.org/officeDocument/2006/relationships/hyperlink" Id="rId48" Target="https://www.whitehouse.gov/wp-content/uploads/legacy_drupal_files/omb/circulars/A130/a130revised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creativecommons.org/publicdomain/zero/1.0/" TargetMode="External" /><Relationship Type="http://schemas.openxmlformats.org/officeDocument/2006/relationships/hyperlink" Id="rId24" Target="https://csrc.nist.gov/pubs/fips/201-3/final" TargetMode="External" /><Relationship Type="http://schemas.openxmlformats.org/officeDocument/2006/relationships/hyperlink" Id="rId30" Target="https://csrc.nist.gov/pubs/sp/800/63/b/4/final" TargetMode="External" /><Relationship Type="http://schemas.openxmlformats.org/officeDocument/2006/relationships/hyperlink" Id="rId9" Target="https://kston83.github.io/nist-guide/templates/policies/ia/" TargetMode="External" /><Relationship Type="http://schemas.openxmlformats.org/officeDocument/2006/relationships/hyperlink" Id="rId19" Target="https://kston83.github.io/nist-guide/templates/standards/identification-and-authentication-standard/" TargetMode="External" /><Relationship Type="http://schemas.openxmlformats.org/officeDocument/2006/relationships/hyperlink" Id="rId47" Target="https://uscode.house.gov/view.xhtml?req=granuleid:USC-prelim-title44-section3554&amp;num=0&amp;edition=prelim" TargetMode="External" /><Relationship Type="http://schemas.openxmlformats.org/officeDocument/2006/relationships/hyperlink" Id="rId48" Target="https://www.whitehouse.gov/wp-content/uploads/legacy_drupal_files/omb/circulars/A130/a130revised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2026-10-16T17:54:52Z</dcterms:created>
  <dcterms:modified xsi:type="dcterms:W3CDTF">2026-10-16T17:54:52Z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