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0" w:name="identification-and-authentication-policy"/>
    <w:p>
      <w:pPr>
        <w:pStyle w:val="Heading1"/>
      </w:pPr>
      <w:r>
        <w:t xml:space="preserve">Identification and Authentication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https://kston83.github.io/nist-guide/templates/policies/ia/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Identification and Authentication, and who is accountable for meeting those requirements. (IA-1a.1(a))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(IA-1a.1(a))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(IA-1a.1(a))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(IA-1b)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(IA-1a.1(a))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(IA-1a.1(a))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(IA-1a.1(a))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(IA-1a.1(a))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(IA-1a.1(b))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(IA-1a.1(a))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(IA-1a.1(a))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(IA-1a.1(a))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(IA-1a.2)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policy is to be disseminated. Typical: everyone within its scope, through the policy library]</w:t>
      </w:r>
      <w:r>
        <w:t xml:space="preserve">. (IA-1a)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procedures are to be disseminated. Typical: the people who carry them out, and the system owners]</w:t>
      </w:r>
      <w:r>
        <w:t xml:space="preserve">. (IA-1a)</w:t>
      </w:r>
    </w:p>
    <w:bookmarkEnd w:id="18"/>
    <w:bookmarkStart w:id="45" w:name="policy-statements"/>
    <w:p>
      <w:pPr>
        <w:pStyle w:val="Heading2"/>
      </w:pPr>
      <w:r>
        <w:t xml:space="preserve">Policy statements</w:t>
      </w:r>
    </w:p>
    <w:bookmarkStart w:id="19" w:name="Xfc092cb0b940bb3c90827bc9571f7f13e18ad78"/>
    <w:p>
      <w:pPr>
        <w:pStyle w:val="Heading3"/>
      </w:pPr>
      <w:r>
        <w:t xml:space="preserve">Identification and authentication (organizational users)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organizational users.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associates that unique identification with processes acting on behalf of those users. (IA-2)</w:t>
      </w:r>
    </w:p>
    <w:bookmarkEnd w:id="19"/>
    <w:bookmarkStart w:id="20" w:name="X10ca362e8ef34443d6116194eeeb1144c5e080b"/>
    <w:p>
      <w:pPr>
        <w:pStyle w:val="Heading3"/>
      </w:pPr>
      <w:r>
        <w:t xml:space="preserve">Multi-factor authentication to privileged accounts (IA-2(1))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privileged accounts. (IA-2(1))</w:t>
      </w:r>
    </w:p>
    <w:bookmarkEnd w:id="20"/>
    <w:bookmarkStart w:id="21" w:name="Xc75032c33f8f596a3e4b90536171554e6e5350c"/>
    <w:p>
      <w:pPr>
        <w:pStyle w:val="Heading3"/>
      </w:pPr>
      <w:r>
        <w:t xml:space="preserve">Multi-factor authentication to non-privileged accounts (IA-2(2))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non-privileged accounts. (IA-2(2))</w:t>
      </w:r>
    </w:p>
    <w:bookmarkEnd w:id="21"/>
    <w:bookmarkStart w:id="22" w:name="Xda8cfb7fa1495b87fd11ec1d3143cf1959a309d"/>
    <w:p>
      <w:pPr>
        <w:pStyle w:val="Heading3"/>
      </w:pPr>
      <w:r>
        <w:t xml:space="preserve">Access to accounts: replay resistant (IA-2(8))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replay-resistant authentication mechanisms for access to</w:t>
      </w:r>
      <w:r>
        <w:t xml:space="preserve"> </w:t>
      </w:r>
      <w:r>
        <w:rPr>
          <w:rStyle w:val="Fill-in"/>
        </w:rPr>
        <w:t xml:space="preserve">[Select one or more: privileged accounts; non-privileged accounts. Typical: privileged accounts and non-privileged accounts]</w:t>
      </w:r>
      <w:r>
        <w:t xml:space="preserve">. (IA-2(8))</w:t>
      </w:r>
    </w:p>
    <w:bookmarkEnd w:id="22"/>
    <w:bookmarkStart w:id="25" w:name="acceptance-of-piv-credentials-ia-212"/>
    <w:p>
      <w:pPr>
        <w:pStyle w:val="Heading3"/>
      </w:pPr>
      <w:r>
        <w:t xml:space="preserve">Acceptance of PIV credentials (IA-2(12))</w:t>
      </w:r>
    </w:p>
    <w:p>
      <w:pPr>
        <w:pStyle w:val="Compact"/>
        <w:numPr>
          <w:ilvl w:val="0"/>
          <w:numId w:val="1008"/>
        </w:numPr>
      </w:pPr>
      <w:r>
        <w:t xml:space="preserve">Where the organization issues or relies on Personal Identity Verification (PIV)-compliant credentials,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them. (IA-2(12))</w:t>
      </w:r>
    </w:p>
    <w:bookmarkStart w:id="24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employees and contractors are issued PIV credentials under Homeland Security Presidential Directive 12 (HSPD-12) and</w:t>
      </w:r>
      <w:r>
        <w:t xml:space="preserve"> </w:t>
      </w:r>
      <w:hyperlink r:id="rId23">
        <w:r>
          <w:rPr>
            <w:rStyle w:val="Hyperlink"/>
          </w:rPr>
          <w:t xml:space="preserve">FIPS 201-3</w:t>
        </w:r>
      </w:hyperlink>
      <w:r>
        <w:t xml:space="preserve">, Personal Identity Verification (PIV) of Federal Employees and Contractors (January 2022).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PIV credentials for organizational users. (IA-2(12))</w:t>
      </w:r>
    </w:p>
    <w:bookmarkEnd w:id="24"/>
    <w:bookmarkEnd w:id="25"/>
    <w:bookmarkStart w:id="26" w:name="X9592b99f1d56aac523ce860d6c2f7bce370e5f7"/>
    <w:p>
      <w:pPr>
        <w:pStyle w:val="Heading3"/>
      </w:pPr>
      <w:r>
        <w:t xml:space="preserve">Device identification and authentication (IA-3)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</w:t>
      </w:r>
      <w:r>
        <w:t xml:space="preserve"> </w:t>
      </w:r>
      <w:r>
        <w:rPr>
          <w:rStyle w:val="Fill-in"/>
        </w:rPr>
        <w:t xml:space="preserve">[Fill in: devices and/or types of devices to be uniquely identified and authenticated before establishing a connection. Typical: all organization-managed endpoints, servers and network devices]</w:t>
      </w:r>
      <w:r>
        <w:t xml:space="preserve"> </w:t>
      </w:r>
      <w:r>
        <w:t xml:space="preserve">before establishing a</w:t>
      </w:r>
      <w:r>
        <w:t xml:space="preserve"> </w:t>
      </w:r>
      <w:r>
        <w:rPr>
          <w:rStyle w:val="Fill-in"/>
        </w:rPr>
        <w:t xml:space="preserve">[Select one or more: local; remote; network. Typical: remote and network]</w:t>
      </w:r>
      <w:r>
        <w:t xml:space="preserve"> </w:t>
      </w:r>
      <w:r>
        <w:t xml:space="preserve">connection. (IA-3)</w:t>
      </w:r>
    </w:p>
    <w:bookmarkEnd w:id="26"/>
    <w:bookmarkStart w:id="27" w:name="identifier-management-ia-4"/>
    <w:p>
      <w:pPr>
        <w:pStyle w:val="Heading3"/>
      </w:pPr>
      <w:r>
        <w:t xml:space="preserve">Identifier management (IA-4)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an individual, group, role, service or device identifier only with authorization from</w:t>
      </w:r>
      <w:r>
        <w:t xml:space="preserve"> </w:t>
      </w:r>
      <w:r>
        <w:rPr>
          <w:rStyle w:val="Fill-in"/>
        </w:rPr>
        <w:t xml:space="preserve">[Fill in: personnel or roles from whom authorization must be received to assign an identifier. Typical: the system owner, through the approved access request]</w:t>
      </w:r>
      <w:r>
        <w:t xml:space="preserve">. (IA-4a)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select an identifier that identifies the individual, group, role, service or device. (IA-4b)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the identifier to the intended individual, group, role, service or device. (IA-4c)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prevent reuse of identifiers for</w:t>
      </w:r>
      <w:r>
        <w:t xml:space="preserve"> </w:t>
      </w:r>
      <w:r>
        <w:rPr>
          <w:rStyle w:val="Fill-in"/>
        </w:rPr>
        <w:t xml:space="preserve">[Fill in: a time period for preventing reuse of identifiers. Typical: at least two years]</w:t>
      </w:r>
      <w:r>
        <w:t xml:space="preserve">. (IA-4d)</w:t>
      </w:r>
    </w:p>
    <w:bookmarkEnd w:id="27"/>
    <w:bookmarkStart w:id="28" w:name="identify-user-status-ia-44"/>
    <w:p>
      <w:pPr>
        <w:pStyle w:val="Heading3"/>
      </w:pPr>
      <w:r>
        <w:t xml:space="preserve">Identify user status (IA-4(4))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manage individual identifiers so that each individual is uniquely identified as</w:t>
      </w:r>
      <w:r>
        <w:t xml:space="preserve"> </w:t>
      </w:r>
      <w:r>
        <w:rPr>
          <w:rStyle w:val="Fill-in"/>
        </w:rPr>
        <w:t xml:space="preserve">[Fill in: characteristics used to identify individual status. Typical: employee, contractor, or foreign national]</w:t>
      </w:r>
      <w:r>
        <w:t xml:space="preserve">. (IA-4(4))</w:t>
      </w:r>
    </w:p>
    <w:bookmarkEnd w:id="28"/>
    <w:bookmarkStart w:id="29" w:name="authenticator-management-ia-5"/>
    <w:p>
      <w:pPr>
        <w:pStyle w:val="Heading3"/>
      </w:pPr>
      <w:r>
        <w:t xml:space="preserve">Authenticator management (IA-5)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the identity of the individual, group, role, service or device receiving an authenticator as part of its initial distribution. (IA-5a)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establish the initial content of any authenticator the organization issues. (IA-5b)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authenticators have sufficient strength of mechanism for their intended use. (IA-5c)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administrative procedures for initial authenticator distribution, for lost, compromised or damaged authenticators, and for revoking authenticators. (IA-5d)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implement those procedures. (IA-5d)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default authenticators are changed before first use. (IA-5e)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as follows:</w:t>
      </w:r>
      <w:r>
        <w:t xml:space="preserve"> </w:t>
      </w:r>
      <w:r>
        <w:rPr>
          <w:rStyle w:val="Fill-in"/>
        </w:rPr>
        <w:t xml:space="preserve">[Fill in: a time period for changing or refreshing authenticators by authenticator type. Typical: no scheduled change for user passwords; certificates at expiry; shared and service account secrets at least annually]</w:t>
      </w:r>
      <w:r>
        <w:t xml:space="preserve">. (IA-5f)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when</w:t>
      </w:r>
      <w:r>
        <w:t xml:space="preserve"> </w:t>
      </w:r>
      <w:r>
        <w:rPr>
          <w:rStyle w:val="Fill-in"/>
        </w:rPr>
        <w:t xml:space="preserve">[Fill in: events that trigger the change or refreshment of authenticators. Typical: evidence or suspicion of compromise, and departure of a person who knew a shared authenticator]</w:t>
      </w:r>
      <w:r>
        <w:t xml:space="preserve"> </w:t>
      </w:r>
      <w:r>
        <w:t xml:space="preserve">occur. (IA-5f)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 content from unauthorized disclosure and modification. (IA-5g)</w:t>
      </w:r>
    </w:p>
    <w:p>
      <w:pPr>
        <w:pStyle w:val="Compact"/>
        <w:numPr>
          <w:ilvl w:val="0"/>
          <w:numId w:val="1013"/>
        </w:numPr>
      </w:pPr>
      <w:r>
        <w:t xml:space="preserve">Users shall protect their authenticators as the rules of behavior require. (IA-5h)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devices implement the controls that protect authenticators. (IA-5h)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group or role accounts when membership of those accounts changes. (IA-5i)</w:t>
      </w:r>
    </w:p>
    <w:bookmarkEnd w:id="29"/>
    <w:bookmarkStart w:id="30" w:name="password-based-authentication-ia-51"/>
    <w:p>
      <w:pPr>
        <w:pStyle w:val="Heading3"/>
      </w:pPr>
      <w:r>
        <w:t xml:space="preserve">Password-based authentication (IA-5(1))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a list of commonly used, expected or compromised passwords, and update it</w:t>
      </w:r>
      <w:r>
        <w:t xml:space="preserve"> </w:t>
      </w:r>
      <w:r>
        <w:rPr>
          <w:rStyle w:val="Fill-in"/>
        </w:rPr>
        <w:t xml:space="preserve">[Fill in: the frequency at which to update the list of commonly used, expected, or compromised passwords. Typical: at least monthly, and whenever a relevant breach corpus is published]</w:t>
      </w:r>
      <w:r>
        <w:t xml:space="preserve"> </w:t>
      </w:r>
      <w:r>
        <w:t xml:space="preserve">and when organizational passwords are suspected to have been compromised. (IA-5(1)(a))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verifies, when users create or update passwords, that the passwords are not on that list. (IA-5(1)(b))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transmitted only over cryptographically protected channels. (IA-5(1)(c))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stored using an approved salted key derivation function, preferably using a keyed hash. (IA-5(1)(d))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immediate selection of a new password upon account recovery. (IA-5(1)(e))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allows long passwords and passphrases, including spaces and all printable characters. (IA-5(1)(f))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automated tools to help users select strong passwords. (IA-5(1)(g))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these composition and complexity rules:</w:t>
      </w:r>
      <w:r>
        <w:t xml:space="preserve"> </w:t>
      </w:r>
      <w:r>
        <w:rPr>
          <w:rStyle w:val="Fill-in"/>
        </w:rPr>
        <w:t xml:space="preserve">[Fill in: authenticator composition and complexity rules. Typical: a minimum length of 15 characters for passwords used as the only factor and 8 for passwords used with another factor, and no other composition rules]</w:t>
      </w:r>
      <w:r>
        <w:t xml:space="preserve">. (IA-5(1)(h))</w:t>
      </w:r>
    </w:p>
    <w:bookmarkEnd w:id="30"/>
    <w:bookmarkStart w:id="31" w:name="public-key-based-authentication-ia-52"/>
    <w:p>
      <w:pPr>
        <w:pStyle w:val="Heading3"/>
      </w:pPr>
      <w:r>
        <w:t xml:space="preserve">Public key-based authentication (IA-5(2))</w:t>
      </w:r>
    </w:p>
    <w:p>
      <w:pPr>
        <w:pStyle w:val="Compact"/>
        <w:numPr>
          <w:ilvl w:val="0"/>
          <w:numId w:val="1015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authorized access to the corresponding private key. (IA-5(2)(a)(1))</w:t>
      </w:r>
    </w:p>
    <w:p>
      <w:pPr>
        <w:pStyle w:val="Compact"/>
        <w:numPr>
          <w:ilvl w:val="0"/>
          <w:numId w:val="1015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maps the authenticated identity to the account of the individual or group. (IA-5(2)(a)(2))</w:t>
      </w:r>
    </w:p>
    <w:p>
      <w:pPr>
        <w:pStyle w:val="Compact"/>
        <w:numPr>
          <w:ilvl w:val="0"/>
          <w:numId w:val="1015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validates certificates by constructing and verifying a certification path to an accepted trust anchor, including checking certificate status. (IA-5(2)(b)(1))</w:t>
      </w:r>
    </w:p>
    <w:p>
      <w:pPr>
        <w:pStyle w:val="Compact"/>
        <w:numPr>
          <w:ilvl w:val="0"/>
          <w:numId w:val="1015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keeps a local cache of revocation data to support path discovery and validation. (IA-5(2)(b)(2))</w:t>
      </w:r>
    </w:p>
    <w:bookmarkEnd w:id="31"/>
    <w:bookmarkStart w:id="32" w:name="protection-of-authenticators-ia-56"/>
    <w:p>
      <w:pPr>
        <w:pStyle w:val="Heading3"/>
      </w:pPr>
      <w:r>
        <w:t xml:space="preserve">Protection of authenticators (IA-5(6))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authenticators commensurate with the security category of the information that their use gives access to. (IA-5(6))</w:t>
      </w:r>
    </w:p>
    <w:bookmarkEnd w:id="32"/>
    <w:bookmarkStart w:id="33" w:name="authentication-feedback-ia-6"/>
    <w:p>
      <w:pPr>
        <w:pStyle w:val="Heading3"/>
      </w:pPr>
      <w:r>
        <w:t xml:space="preserve">Authentication feedback (IA-6)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obscures feedback of authentication information during authentication, so it cannot be exploited by unauthorized individuals. (IA-6)</w:t>
      </w:r>
    </w:p>
    <w:bookmarkEnd w:id="33"/>
    <w:bookmarkStart w:id="34" w:name="cryptographic-module-authentication-ia-7"/>
    <w:p>
      <w:pPr>
        <w:pStyle w:val="Heading3"/>
      </w:pPr>
      <w:r>
        <w:t xml:space="preserve">Cryptographic module authentication (IA-7)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mechanisms for authentication to a cryptographic module that meet the laws, executive orders, directives, policies, regulations, standards and guidelines that apply to such authentication. (IA-7)</w:t>
      </w:r>
    </w:p>
    <w:bookmarkEnd w:id="34"/>
    <w:bookmarkStart w:id="35" w:name="X2b07957ea80570e9ead57d83aaa3033ad09a62b"/>
    <w:p>
      <w:pPr>
        <w:pStyle w:val="Heading3"/>
      </w:pPr>
      <w:r>
        <w:t xml:space="preserve">Identification and authentication (non-organizational users) (IA-8)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non-organizational users and processes acting on their behalf. (IA-8)</w:t>
      </w:r>
    </w:p>
    <w:bookmarkEnd w:id="35"/>
    <w:bookmarkStart w:id="36" w:name="Xb563bcad0b4a0efea7541087a3ea4f0d3f95d18"/>
    <w:p>
      <w:pPr>
        <w:pStyle w:val="Heading3"/>
      </w:pPr>
      <w:r>
        <w:t xml:space="preserve">Acceptance of PIV credentials from other agencies (IA-8(1))</w:t>
      </w:r>
    </w:p>
    <w:p>
      <w:pPr>
        <w:pStyle w:val="Compact"/>
        <w:numPr>
          <w:ilvl w:val="0"/>
          <w:numId w:val="1020"/>
        </w:numPr>
      </w:pPr>
      <w:r>
        <w:t xml:space="preserve">Where users from federal agencies access the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it accepts and electronically verifies their Personal Identity Verification (PIV)-compliant credentials. (IA-8(1))</w:t>
      </w:r>
    </w:p>
    <w:bookmarkEnd w:id="36"/>
    <w:bookmarkStart w:id="38" w:name="X4af41985cb0e1b65f5499d6e4b647301fad28a4"/>
    <w:p>
      <w:pPr>
        <w:pStyle w:val="Heading3"/>
      </w:pPr>
      <w:r>
        <w:t xml:space="preserve">Acceptance of external authenticators (IA-8(2))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only external authenticators that are NIST-compliant, such as those meeting</w:t>
      </w:r>
      <w:r>
        <w:t xml:space="preserve"> </w:t>
      </w:r>
      <w:hyperlink r:id="rId37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2025). (IA-8(2)(a))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and maintain a list of accepted external authenticators. (IA-8(2)(b))</w:t>
      </w:r>
    </w:p>
    <w:bookmarkEnd w:id="38"/>
    <w:bookmarkStart w:id="39" w:name="use-of-defined-profiles-ia-84"/>
    <w:p>
      <w:pPr>
        <w:pStyle w:val="Heading3"/>
      </w:pPr>
      <w:r>
        <w:t xml:space="preserve">Use of defined profiles (IA-8(4))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conforms to</w:t>
      </w:r>
      <w:r>
        <w:t xml:space="preserve"> </w:t>
      </w:r>
      <w:r>
        <w:rPr>
          <w:rStyle w:val="Fill-in"/>
        </w:rPr>
        <w:t xml:space="preserve">[Fill in: identity management profiles. Typical: the federation profiles the organization publishes for its identity provider, such as SAML 2.0 or OpenID Connect]</w:t>
      </w:r>
      <w:r>
        <w:t xml:space="preserve"> </w:t>
      </w:r>
      <w:r>
        <w:t xml:space="preserve">for identity management. (IA-8(4))</w:t>
      </w:r>
    </w:p>
    <w:bookmarkEnd w:id="39"/>
    <w:bookmarkStart w:id="40" w:name="re-authentication-ia-11"/>
    <w:p>
      <w:pPr>
        <w:pStyle w:val="Heading3"/>
      </w:pPr>
      <w:r>
        <w:t xml:space="preserve">Re-authentication (IA-11)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users to re-authenticate when</w:t>
      </w:r>
      <w:r>
        <w:t xml:space="preserve"> </w:t>
      </w:r>
      <w:r>
        <w:rPr>
          <w:rStyle w:val="Fill-in"/>
        </w:rPr>
        <w:t xml:space="preserve">[Fill in: circumstances or situations requiring re-authentication. Typical: a session timeout, a change of role or privilege, a privileged action, or a change of authenticators]</w:t>
      </w:r>
      <w:r>
        <w:t xml:space="preserve">. (IA-11)</w:t>
      </w:r>
    </w:p>
    <w:bookmarkEnd w:id="40"/>
    <w:bookmarkStart w:id="41" w:name="identity-proofing-ia-12"/>
    <w:p>
      <w:pPr>
        <w:pStyle w:val="Heading3"/>
      </w:pPr>
      <w:r>
        <w:t xml:space="preserve">Identity proofing (IA-12)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identity proof users who require accounts for logical access, at the identity assurance level the applicable standards require, such as the NIST SP 800-63-4 digital identity guidelines. (IA-12a)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resolve each user identity to a unique individual. (IA-12b)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collect, validate and verify identity evidence. (IA-12c)</w:t>
      </w:r>
    </w:p>
    <w:bookmarkEnd w:id="41"/>
    <w:bookmarkStart w:id="42" w:name="identity-evidence-ia-122"/>
    <w:p>
      <w:pPr>
        <w:pStyle w:val="Heading3"/>
      </w:pPr>
      <w:r>
        <w:t xml:space="preserve">Identity evidence (IA-12(2))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evidence of individual identification to be presented to the registration authority. (IA-12(2))</w:t>
      </w:r>
    </w:p>
    <w:bookmarkEnd w:id="42"/>
    <w:bookmarkStart w:id="43" w:name="Xdc88bc576340bc5619ea1313324889fc30d5741"/>
    <w:p>
      <w:pPr>
        <w:pStyle w:val="Heading3"/>
      </w:pPr>
      <w:r>
        <w:t xml:space="preserve">Identity evidence validation and verification (IA-12(3))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presented identity evidence to be validated and verified through</w:t>
      </w:r>
      <w:r>
        <w:t xml:space="preserve"> </w:t>
      </w:r>
      <w:r>
        <w:rPr>
          <w:rStyle w:val="Fill-in"/>
        </w:rPr>
        <w:t xml:space="preserve">[Fill in: methods of validation and verification of identity evidence. Typical: checking the evidence against its issuing or an authoritative source, and confirming the applicant is the person it describes]</w:t>
      </w:r>
      <w:r>
        <w:t xml:space="preserve">. (IA-12(3))</w:t>
      </w:r>
    </w:p>
    <w:bookmarkEnd w:id="43"/>
    <w:bookmarkStart w:id="44" w:name="address-confirmation-ia-125"/>
    <w:p>
      <w:pPr>
        <w:pStyle w:val="Heading3"/>
      </w:pPr>
      <w:r>
        <w:t xml:space="preserve">Address confirmation (IA-12(5))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a</w:t>
      </w:r>
      <w:r>
        <w:t xml:space="preserve"> </w:t>
      </w:r>
      <w:r>
        <w:rPr>
          <w:rStyle w:val="Fill-in"/>
        </w:rPr>
        <w:t xml:space="preserve">[Select one: registration code; notice of proofing. Typical: registration code]</w:t>
      </w:r>
      <w:r>
        <w:t xml:space="preserve"> </w:t>
      </w:r>
      <w:r>
        <w:t xml:space="preserve">to be delivered through an out-of-band channel to verify the user’s address of record, physical or digital. (IA-12(5))</w:t>
      </w:r>
    </w:p>
    <w:bookmarkEnd w:id="44"/>
    <w:bookmarkEnd w:id="45"/>
    <w:bookmarkStart w:id="49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identification and authentication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(IA-1c.1)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identification and authentication procedures to be reviewed and updated. Typical: the same events as the policy, and changes to the systems, tools or services the procedures describe]</w:t>
      </w:r>
      <w:r>
        <w:t xml:space="preserve">. (IA-1c.2)</w:t>
      </w:r>
    </w:p>
    <w:bookmarkStart w:id="48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6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7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9"/>
        </w:numPr>
      </w:pPr>
      <w:r>
        <w:t xml:space="preserve">Where the agency’s organization-wide policy sets a value for a parameter in this policy, each system shall use that value or a stricter one. (IA-1a.1(b))</w:t>
      </w:r>
    </w:p>
    <w:bookmarkEnd w:id="48"/>
    <w:bookmarkEnd w:id="49"/>
    <w:bookmarkEnd w:id="50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Identification and Authentication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201-3/final" TargetMode="External" /><Relationship Type="http://schemas.openxmlformats.org/officeDocument/2006/relationships/hyperlink" Id="rId37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46" Target="https://uscode.house.gov/view.xhtml?req=granuleid:USC-prelim-title44-section3554&amp;num=0&amp;edition=prelim" TargetMode="External" /><Relationship Type="http://schemas.openxmlformats.org/officeDocument/2006/relationships/hyperlink" Id="rId47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201-3/final" TargetMode="External" /><Relationship Type="http://schemas.openxmlformats.org/officeDocument/2006/relationships/hyperlink" Id="rId37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46" Target="https://uscode.house.gov/view.xhtml?req=granuleid:USC-prelim-title44-section3554&amp;num=0&amp;edition=prelim" TargetMode="External" /><Relationship Type="http://schemas.openxmlformats.org/officeDocument/2006/relationships/hyperlink" Id="rId47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