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incident-response-policy"/>
    <w:p>
      <w:pPr>
        <w:pStyle w:val="Heading1"/>
      </w:pPr>
      <w:r>
        <w:t xml:space="preserve">Incident Response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IR-1,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IR-1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Incident Response, and who is accountable for meeting those requirements. (IR-1a.1(a))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(IR-1a.1(a))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(IR-1a.1(a))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(IR-1b)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(IR-1a.1(a))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(IR-1a.1(a))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(IR-1a.1(a))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(IR-1a.1(a))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(IR-1a.1(b))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(IR-1a.1(a))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(IR-1a.1(a))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(IR-1a.1(a))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(IR-1a.2)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incident response policy is to be disseminated. Typical: everyone within its scope, through the policy library]</w:t>
      </w:r>
      <w:r>
        <w:t xml:space="preserve">. (IR-1a)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incident response procedures are to be disseminated. Typical: the people who carry them out, and the system owners]</w:t>
      </w:r>
      <w:r>
        <w:t xml:space="preserve">. (IR-1a)</w:t>
      </w:r>
    </w:p>
    <w:bookmarkEnd w:id="18"/>
    <w:bookmarkStart w:id="39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incident-response-training-ir-2"/>
    <w:p>
      <w:pPr>
        <w:pStyle w:val="Heading3"/>
      </w:pPr>
      <w:r>
        <w:t xml:space="preserve">Incident response training (IR-2)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response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a time period within which incident response training is to be provided to system users assuming an incident response role or responsibility. Typical: 30 days]</w:t>
      </w:r>
      <w:r>
        <w:t xml:space="preserve"> </w:t>
      </w:r>
      <w:r>
        <w:t xml:space="preserve">of their assuming an incident response role or responsibility or acquiring system access. (IR-2a.1)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 when system changes require it. (IR-2a.2)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incident response training to users. Typical: annually]</w:t>
      </w:r>
      <w:r>
        <w:t xml:space="preserve"> </w:t>
      </w:r>
      <w:r>
        <w:t xml:space="preserve">thereafter. (IR-2a.3)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review and update incident response training content</w:t>
      </w:r>
      <w:r>
        <w:t xml:space="preserve"> </w:t>
      </w:r>
      <w:r>
        <w:rPr>
          <w:rStyle w:val="Fill-in"/>
        </w:rPr>
        <w:t xml:space="preserve">[Fill in: frequency at which to review and update incident response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initiate a review of the incident response training content. Typical: a change to the incident response plan, and lessons learned from an incident or exercise]</w:t>
      </w:r>
      <w:r>
        <w:t xml:space="preserve">. (IR-2b)</w:t>
      </w:r>
    </w:p>
    <w:bookmarkEnd w:id="19"/>
    <w:bookmarkStart w:id="20" w:name="simulated-events-ir-21"/>
    <w:p>
      <w:pPr>
        <w:pStyle w:val="Heading3"/>
      </w:pPr>
      <w:r>
        <w:t xml:space="preserve">Simulated events (IR-2(1))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simulated events into incident response training so personnel practice the required response to crisis situations. (IR-2(1))</w:t>
      </w:r>
    </w:p>
    <w:bookmarkEnd w:id="20"/>
    <w:bookmarkStart w:id="21" w:name="automated-training-environments-ir-22"/>
    <w:p>
      <w:pPr>
        <w:pStyle w:val="Heading3"/>
      </w:pPr>
      <w:r>
        <w:t xml:space="preserve">Automated training environments (IR-2(2))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training environment using</w:t>
      </w:r>
      <w:r>
        <w:t xml:space="preserve"> </w:t>
      </w:r>
      <w:r>
        <w:rPr>
          <w:rStyle w:val="Fill-in"/>
        </w:rPr>
        <w:t xml:space="preserve">[Fill in: automated mechanisms used in an incident response training environment. Typical: a cyber range or isolated lab that replays realistic attack activity]</w:t>
      </w:r>
      <w:r>
        <w:t xml:space="preserve">. (IR-2(2))</w:t>
      </w:r>
    </w:p>
    <w:bookmarkEnd w:id="21"/>
    <w:bookmarkStart w:id="22" w:name="incident-response-testing-ir-3"/>
    <w:p>
      <w:pPr>
        <w:pStyle w:val="Heading3"/>
      </w:pPr>
      <w:r>
        <w:t xml:space="preserve">Incident response testing (IR-3)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test the effectiveness of the incident response capability for the system</w:t>
      </w:r>
      <w:r>
        <w:t xml:space="preserve"> </w:t>
      </w:r>
      <w:r>
        <w:rPr>
          <w:rStyle w:val="Fill-in"/>
        </w:rPr>
        <w:t xml:space="preserve">[Fill in: frequency at which to test the effectiveness of the incident response capability for the system. Typical: annually]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tests used to test the effectiveness of the incident response capability for the system. Typical: a tabletop exercise based on a realistic scenario, and a functional test of notification and escalation]</w:t>
      </w:r>
      <w:r>
        <w:t xml:space="preserve">. (IR-3)</w:t>
      </w:r>
    </w:p>
    <w:bookmarkEnd w:id="22"/>
    <w:bookmarkStart w:id="23" w:name="coordination-with-related-plans-ir-32"/>
    <w:p>
      <w:pPr>
        <w:pStyle w:val="Heading3"/>
      </w:pPr>
      <w:r>
        <w:t xml:space="preserve">Coordination with related plans (IR-3(2))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response testing with the organizational elements responsible for related plans, such as contingency, continuity and crisis communications plans. (IR-3(2))</w:t>
      </w:r>
    </w:p>
    <w:bookmarkEnd w:id="23"/>
    <w:bookmarkStart w:id="25" w:name="incident-handling-ir-4"/>
    <w:p>
      <w:pPr>
        <w:pStyle w:val="Heading3"/>
      </w:pPr>
      <w:r>
        <w:t xml:space="preserve">Incident handling (IR-4)</w:t>
      </w:r>
    </w:p>
    <w:p>
      <w:pPr>
        <w:pStyle w:val="Guidance"/>
      </w:pPr>
      <w:r>
        <w:t xml:space="preserve">IR-4a names the phases of the incident handling life cycle from NIST SP 800-61 Rev. 2. Its successor,</w:t>
      </w:r>
      <w:r>
        <w:t xml:space="preserve"> </w:t>
      </w:r>
      <w:hyperlink r:id="rId24">
        <w:r>
          <w:rPr>
            <w:rStyle w:val="Hyperlink"/>
          </w:rPr>
          <w:t xml:space="preserve">SP 800-61 Rev. 3</w:t>
        </w:r>
      </w:hyperlink>
      <w:r>
        <w:t xml:space="preserve"> </w:t>
      </w:r>
      <w:r>
        <w:t xml:space="preserve">(April 2025), organizes incident response around the CSF 2.0 Functions instead; the Incident Response Plan template follows Rev. 3 and still covers every IR-4a phase. Assessors ask for records of recent incidents that show each phase, and for evidence that a lesson learned changed a procedure.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implement an incident handling capability, consistent with the incident response plan, that includes preparation, detection and analysis, containment, eradication and recovery. (IR-4a)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handling activities with contingency planning activities. (IR-4b)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lessons learned from incident handling into incident response procedures, training and testing, and implement the resulting changes. (IR-4c)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rigor, intensity, scope and results of incident handling are comparable and predictable across the organization. (IR-4d)</w:t>
      </w:r>
    </w:p>
    <w:bookmarkEnd w:id="25"/>
    <w:bookmarkStart w:id="26" w:name="X4bc837c11c3beea19d377af594e0eff32dfdc04"/>
    <w:p>
      <w:pPr>
        <w:pStyle w:val="Heading3"/>
      </w:pPr>
      <w:r>
        <w:t xml:space="preserve">Automated incident handling processes (IR-4(1))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support the incident handling process using</w:t>
      </w:r>
      <w:r>
        <w:t xml:space="preserve"> </w:t>
      </w:r>
      <w:r>
        <w:rPr>
          <w:rStyle w:val="Fill-in"/>
        </w:rPr>
        <w:t xml:space="preserve">[Fill in: automated mechanisms used to support the incident handling process. Typical: the case management system and automated playbooks in the security operations platform]</w:t>
      </w:r>
      <w:r>
        <w:t xml:space="preserve">. (IR-4(1))</w:t>
      </w:r>
    </w:p>
    <w:bookmarkEnd w:id="26"/>
    <w:bookmarkStart w:id="27" w:name="information-correlation-ir-44"/>
    <w:p>
      <w:pPr>
        <w:pStyle w:val="Heading3"/>
      </w:pPr>
      <w:r>
        <w:t xml:space="preserve">Information correlation (IR-4(4))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correlate incident information and individual incident responses to achieve an organization-wide perspective on incident awareness and response. (IR-4(4))</w:t>
      </w:r>
    </w:p>
    <w:bookmarkEnd w:id="27"/>
    <w:bookmarkStart w:id="28" w:name="integrated-incident-response-team-ir-411"/>
    <w:p>
      <w:pPr>
        <w:pStyle w:val="Heading3"/>
      </w:pPr>
      <w:r>
        <w:t xml:space="preserve">Integrated incident response team (IR-4(11))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and maintain an integrated incident response team that can be deployed to any location the organization identifies within</w:t>
      </w:r>
      <w:r>
        <w:t xml:space="preserve"> </w:t>
      </w:r>
      <w:r>
        <w:rPr>
          <w:rStyle w:val="Fill-in"/>
        </w:rPr>
        <w:t xml:space="preserve">[Fill in: the time period within which an integrated incident response team can be deployed. Typical: 24 hours]</w:t>
      </w:r>
      <w:r>
        <w:t xml:space="preserve">. (IR-4(11))</w:t>
      </w:r>
    </w:p>
    <w:bookmarkEnd w:id="28"/>
    <w:bookmarkStart w:id="29" w:name="incident-monitoring-ir-5"/>
    <w:p>
      <w:pPr>
        <w:pStyle w:val="Heading3"/>
      </w:pPr>
      <w:r>
        <w:t xml:space="preserve">Incident monitoring (IR-5)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and document incidents. (IR-5)</w:t>
      </w:r>
    </w:p>
    <w:bookmarkEnd w:id="29"/>
    <w:bookmarkStart w:id="30" w:name="Xee4a0c18e25c51510d14e81fd3d463b890319f6"/>
    <w:p>
      <w:pPr>
        <w:pStyle w:val="Heading3"/>
      </w:pPr>
      <w:r>
        <w:t xml:space="preserve">Automated tracking, data collection and analysis (IR-5(1))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incidents and collect and analyze incident information using</w:t>
      </w:r>
      <w:r>
        <w:t xml:space="preserve"> </w:t>
      </w:r>
      <w:r>
        <w:rPr>
          <w:rStyle w:val="Fill-in"/>
        </w:rPr>
        <w:t xml:space="preserve">[Fill in: automated mechanisms. Typical: the incident case management system integrated with the security operations platform]</w:t>
      </w:r>
      <w:r>
        <w:t xml:space="preserve">. (IR-5(1))</w:t>
      </w:r>
    </w:p>
    <w:bookmarkEnd w:id="30"/>
    <w:bookmarkStart w:id="33" w:name="incident-reporting-ir-6"/>
    <w:p>
      <w:pPr>
        <w:pStyle w:val="Heading3"/>
      </w:pPr>
      <w:r>
        <w:t xml:space="preserve">Incident reporting (IR-6)</w:t>
      </w:r>
    </w:p>
    <w:p>
      <w:pPr>
        <w:pStyle w:val="Compact"/>
        <w:numPr>
          <w:ilvl w:val="0"/>
          <w:numId w:val="1015"/>
        </w:numPr>
      </w:pPr>
      <w:r>
        <w:t xml:space="preserve">All personnel shall report suspected incidents to 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for personnel to report suspected incidents to the organizational incident response capability. Typical: 1 hour of discovery]</w:t>
      </w:r>
      <w:r>
        <w:t xml:space="preserve">. (IR-6a)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 information to</w:t>
      </w:r>
      <w:r>
        <w:t xml:space="preserve"> </w:t>
      </w:r>
      <w:r>
        <w:rPr>
          <w:rStyle w:val="Fill-in"/>
        </w:rPr>
        <w:t xml:space="preserve">[Fill in: authorities to whom incident information is to be reported. Typical: senior leadership, legal counsel, and any regulator, customer or partner that law or contract requires be notified]</w:t>
      </w:r>
      <w:r>
        <w:t xml:space="preserve">. (IR-6b)</w:t>
      </w:r>
    </w:p>
    <w:bookmarkStart w:id="3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agencies notify the Cybersecurity and Infrastructure Security Agency (CISA) of incidents under FISMA (44 U.S.C. §§ 3553 and 3554). As of September 2026, the</w:t>
      </w:r>
      <w:r>
        <w:t xml:space="preserve"> </w:t>
      </w:r>
      <w:hyperlink r:id="rId31">
        <w:r>
          <w:rPr>
            <w:rStyle w:val="Hyperlink"/>
          </w:rPr>
          <w:t xml:space="preserve">CISA Federal Incident Notification Guidelines</w:t>
        </w:r>
      </w:hyperlink>
      <w:r>
        <w:t xml:space="preserve"> </w:t>
      </w:r>
      <w:r>
        <w:t xml:space="preserve">(effective April 1, 2017) set the time frame: within one hour of the incident being identified by the agency’s top-level incident response team, security operations center or IT department.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to CISA within one hour of identification, as the CISA Federal Incident Notification Guidelines require. (IR-6b)</w:t>
      </w:r>
    </w:p>
    <w:bookmarkEnd w:id="32"/>
    <w:bookmarkEnd w:id="33"/>
    <w:bookmarkStart w:id="34" w:name="automated-reporting-ir-61"/>
    <w:p>
      <w:pPr>
        <w:pStyle w:val="Heading3"/>
      </w:pPr>
      <w:r>
        <w:t xml:space="preserve">Automated reporting (IR-6(1))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using</w:t>
      </w:r>
      <w:r>
        <w:t xml:space="preserve"> </w:t>
      </w:r>
      <w:r>
        <w:rPr>
          <w:rStyle w:val="Fill-in"/>
        </w:rPr>
        <w:t xml:space="preserve">[Fill in: automated mechanisms used for reporting incidents. Typical: the incident report form and case management system, which notify the incident response team automatically]</w:t>
      </w:r>
      <w:r>
        <w:t xml:space="preserve">. (IR-6(1))</w:t>
      </w:r>
    </w:p>
    <w:bookmarkEnd w:id="34"/>
    <w:bookmarkStart w:id="35" w:name="supply-chain-coordination-ir-63"/>
    <w:p>
      <w:pPr>
        <w:pStyle w:val="Heading3"/>
      </w:pPr>
      <w:r>
        <w:t xml:space="preserve">Supply chain coordination (IR-6(3))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information to the provider of the product or service, and to other organizations in the supply chain, for system components related to an incident. (IR-6(3))</w:t>
      </w:r>
    </w:p>
    <w:bookmarkEnd w:id="35"/>
    <w:bookmarkStart w:id="36" w:name="incident-response-assistance-ir-7"/>
    <w:p>
      <w:pPr>
        <w:pStyle w:val="Heading3"/>
      </w:pPr>
      <w:r>
        <w:t xml:space="preserve">Incident response assistance (IR-7)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support resource, as part of the incident response capability, that offers system users advice and assistance with handling and reporting incidents. (IR-7)</w:t>
      </w:r>
    </w:p>
    <w:bookmarkEnd w:id="36"/>
    <w:bookmarkStart w:id="37" w:name="Xa913bb2be269541b9eb3c4a7b9af9de430ca359"/>
    <w:p>
      <w:pPr>
        <w:pStyle w:val="Heading3"/>
      </w:pPr>
      <w:r>
        <w:t xml:space="preserve">Automation support for availability of information and support (IR-7(1))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increase the availability of incident response information and support using</w:t>
      </w:r>
      <w:r>
        <w:t xml:space="preserve"> </w:t>
      </w:r>
      <w:r>
        <w:rPr>
          <w:rStyle w:val="Fill-in"/>
        </w:rPr>
        <w:t xml:space="preserve">[Fill in: automated mechanisms used to increase the availability of incident response information and support. Typical: a self-service reporting portal and an incident response page on the intranet]</w:t>
      </w:r>
      <w:r>
        <w:t xml:space="preserve">. (IR-7(1))</w:t>
      </w:r>
    </w:p>
    <w:bookmarkEnd w:id="37"/>
    <w:bookmarkStart w:id="38" w:name="incident-response-plan-ir-8"/>
    <w:p>
      <w:pPr>
        <w:pStyle w:val="Heading3"/>
      </w:pPr>
      <w:r>
        <w:t xml:space="preserve">Incident response plan (IR-8)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 incident response plan that provides a roadmap for implementing the incident response capability. (IR-8a.1)</w:t>
      </w:r>
    </w:p>
    <w:p>
      <w:pPr>
        <w:pStyle w:val="Compact"/>
        <w:numPr>
          <w:ilvl w:val="0"/>
          <w:numId w:val="1021"/>
        </w:numPr>
      </w:pPr>
      <w:r>
        <w:t xml:space="preserve">The plan shall describe the structure and organization of the incident response capability. (IR-8a.2)</w:t>
      </w:r>
    </w:p>
    <w:p>
      <w:pPr>
        <w:pStyle w:val="Compact"/>
        <w:numPr>
          <w:ilvl w:val="0"/>
          <w:numId w:val="1021"/>
        </w:numPr>
      </w:pPr>
      <w:r>
        <w:t xml:space="preserve">The plan shall describe at a high level how the incident response capability fits into the overall organization. (IR-8a.3)</w:t>
      </w:r>
    </w:p>
    <w:p>
      <w:pPr>
        <w:pStyle w:val="Compact"/>
        <w:numPr>
          <w:ilvl w:val="0"/>
          <w:numId w:val="1021"/>
        </w:numPr>
      </w:pPr>
      <w:r>
        <w:t xml:space="preserve">The plan shall meet the organization’s unique requirements related to its mission, size, structure and functions. (IR-8a.4)</w:t>
      </w:r>
    </w:p>
    <w:p>
      <w:pPr>
        <w:pStyle w:val="Compact"/>
        <w:numPr>
          <w:ilvl w:val="0"/>
          <w:numId w:val="1021"/>
        </w:numPr>
      </w:pPr>
      <w:r>
        <w:t xml:space="preserve">The plan shall define reportable incidents. (IR-8a.5)</w:t>
      </w:r>
    </w:p>
    <w:p>
      <w:pPr>
        <w:pStyle w:val="Compact"/>
        <w:numPr>
          <w:ilvl w:val="0"/>
          <w:numId w:val="1021"/>
        </w:numPr>
      </w:pPr>
      <w:r>
        <w:t xml:space="preserve">The plan shall provide metrics for measuring the incident response capability. (IR-8a.6)</w:t>
      </w:r>
    </w:p>
    <w:p>
      <w:pPr>
        <w:pStyle w:val="Compact"/>
        <w:numPr>
          <w:ilvl w:val="0"/>
          <w:numId w:val="1021"/>
        </w:numPr>
      </w:pPr>
      <w:r>
        <w:t xml:space="preserve">The plan shall define the resources and management support needed to maintain and mature the incident response capability. (IR-8a.7)</w:t>
      </w:r>
    </w:p>
    <w:p>
      <w:pPr>
        <w:pStyle w:val="Compact"/>
        <w:numPr>
          <w:ilvl w:val="0"/>
          <w:numId w:val="1021"/>
        </w:numPr>
      </w:pPr>
      <w:r>
        <w:t xml:space="preserve">The plan shall address the sharing of incident information. (IR-8a.8)</w:t>
      </w:r>
    </w:p>
    <w:p>
      <w:pPr>
        <w:pStyle w:val="Compact"/>
        <w:numPr>
          <w:ilvl w:val="0"/>
          <w:numId w:val="1021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that review and approve the incident response plan. Typical: the Chief Information Security Officer]</w:t>
      </w:r>
      <w:r>
        <w:t xml:space="preserve"> </w:t>
      </w:r>
      <w:r>
        <w:rPr>
          <w:rStyle w:val="Fill-in"/>
        </w:rPr>
        <w:t xml:space="preserve">[Fill in: the frequency at which to review and approve the incident response plan. Typical: annually]</w:t>
      </w:r>
      <w:r>
        <w:t xml:space="preserve">. (IR-8a.9)</w:t>
      </w:r>
    </w:p>
    <w:p>
      <w:pPr>
        <w:pStyle w:val="Compact"/>
        <w:numPr>
          <w:ilvl w:val="0"/>
          <w:numId w:val="1021"/>
        </w:numPr>
      </w:pPr>
      <w:r>
        <w:t xml:space="preserve">The plan shall explicitly designate responsibility for incident response to</w:t>
      </w:r>
      <w:r>
        <w:t xml:space="preserve"> </w:t>
      </w:r>
      <w:r>
        <w:rPr>
          <w:rStyle w:val="Fill-in"/>
        </w:rPr>
        <w:t xml:space="preserve">[Fill in: entities, personnel, or roles with designated responsibility for incident response. Typical: the incident response team, led by its designated lead]</w:t>
      </w:r>
      <w:r>
        <w:t xml:space="preserve">. (IR-8a.10)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distribute copies of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to whom copies of the incident response plan are to be distributed. Typical: the incident response team members, by role]</w:t>
      </w:r>
      <w:r>
        <w:t xml:space="preserve"> </w:t>
      </w:r>
      <w:r>
        <w:t xml:space="preserve">and</w:t>
      </w:r>
      <w:r>
        <w:t xml:space="preserve"> </w:t>
      </w:r>
      <w:r>
        <w:rPr>
          <w:rStyle w:val="Fill-in"/>
        </w:rPr>
        <w:t xml:space="preserve">[Fill in: organizational elements to which copies of the incident response plan are to be distributed. Typical: the security operations, legal, communications and human resources functions]</w:t>
      </w:r>
      <w:r>
        <w:t xml:space="preserve">. (IR-8b)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the plan to address system and organizational changes, and problems found during its implementation, execution or testing. (IR-8c)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communicate changes to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and organizational elements. Typical: everyone who received the plan]</w:t>
      </w:r>
      <w:r>
        <w:t xml:space="preserve">. (IR-8d)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the plan from unauthorized disclosure and modification. (IR-8e)</w:t>
      </w:r>
    </w:p>
    <w:bookmarkEnd w:id="38"/>
    <w:bookmarkEnd w:id="39"/>
    <w:bookmarkStart w:id="43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incident response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(IR-1c.1)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incident response procedures to be reviewed and updated. Typical: the same events as the policy, and changes to the systems, tools or services the procedures describe]</w:t>
      </w:r>
      <w:r>
        <w:t xml:space="preserve">. (IR-1c.2)</w:t>
      </w:r>
    </w:p>
    <w:bookmarkStart w:id="42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0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1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3"/>
        </w:numPr>
      </w:pPr>
      <w:r>
        <w:t xml:space="preserve">Where the agency’s organization-wide policy sets a value for a parameter in this policy, each system shall use that value or a stricter one. (IR-1a.1(b))</w:t>
      </w:r>
    </w:p>
    <w:bookmarkEnd w:id="42"/>
    <w:bookmarkEnd w:id="43"/>
    <w:bookmarkEnd w:id="44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Incident Response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sp/800/61/r3/final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40" Target="https://uscode.house.gov/view.xhtml?req=granuleid:USC-prelim-title44-section3554&amp;num=0&amp;edition=prelim" TargetMode="External" /><Relationship Type="http://schemas.openxmlformats.org/officeDocument/2006/relationships/hyperlink" Id="rId31" Target="https://www.cisa.gov/federal-incident-notification-guidelines" TargetMode="External" /><Relationship Type="http://schemas.openxmlformats.org/officeDocument/2006/relationships/hyperlink" Id="rId41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sp/800/61/r3/final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40" Target="https://uscode.house.gov/view.xhtml?req=granuleid:USC-prelim-title44-section3554&amp;num=0&amp;edition=prelim" TargetMode="External" /><Relationship Type="http://schemas.openxmlformats.org/officeDocument/2006/relationships/hyperlink" Id="rId31" Target="https://www.cisa.gov/federal-incident-notification-guidelines" TargetMode="External" /><Relationship Type="http://schemas.openxmlformats.org/officeDocument/2006/relationships/hyperlink" Id="rId41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