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38" w:name="policy-statements"/>
    <w:p>
      <w:pPr>
        <w:pStyle w:val="Heading2"/>
      </w:pPr>
      <w:r>
        <w:t xml:space="preserve">Policy statements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0" w:name="simulated-events-ir-21"/>
    <w:p>
      <w:pPr>
        <w:pStyle w:val="Heading3"/>
      </w:pPr>
      <w:r>
        <w:t xml:space="preserve">Simulated events (IR-2(1))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simulated events into incident response training so personnel practice the required response to crisis situations. (IR-2(1))</w:t>
      </w:r>
    </w:p>
    <w:bookmarkEnd w:id="20"/>
    <w:bookmarkStart w:id="21" w:name="automated-training-environments-ir-22"/>
    <w:p>
      <w:pPr>
        <w:pStyle w:val="Heading3"/>
      </w:pPr>
      <w:r>
        <w:t xml:space="preserve">Automated training environments (IR-2(2))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training environment using</w:t>
      </w:r>
      <w:r>
        <w:t xml:space="preserve"> </w:t>
      </w:r>
      <w:r>
        <w:rPr>
          <w:rStyle w:val="Fill-in"/>
        </w:rPr>
        <w:t xml:space="preserve">[Fill in: automated mechanisms used in an incident response training environment. Typical: a cyber range or isolated lab that replays realistic attack activity]</w:t>
      </w:r>
      <w:r>
        <w:t xml:space="preserve">. (IR-2(2))</w:t>
      </w:r>
    </w:p>
    <w:bookmarkEnd w:id="21"/>
    <w:bookmarkStart w:id="22" w:name="incident-response-testing-ir-3"/>
    <w:p>
      <w:pPr>
        <w:pStyle w:val="Heading3"/>
      </w:pPr>
      <w:r>
        <w:t xml:space="preserve">Incident response testing (IR-3)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test the effectiveness of the incident response capability for the system</w:t>
      </w:r>
      <w:r>
        <w:t xml:space="preserve"> </w:t>
      </w:r>
      <w:r>
        <w:rPr>
          <w:rStyle w:val="Fill-in"/>
        </w:rPr>
        <w:t xml:space="preserve">[Fill in: frequency at which to test the effectiveness of the incident response capability for the system. Typical: annually]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tests used to test the effectiveness of the incident response capability for the system. Typical: a tabletop exercise based on a realistic scenario, and a functional test of notification and escalation]</w:t>
      </w:r>
      <w:r>
        <w:t xml:space="preserve">. (IR-3)</w:t>
      </w:r>
    </w:p>
    <w:bookmarkEnd w:id="22"/>
    <w:bookmarkStart w:id="23" w:name="coordination-with-related-plans-ir-32"/>
    <w:p>
      <w:pPr>
        <w:pStyle w:val="Heading3"/>
      </w:pPr>
      <w:r>
        <w:t xml:space="preserve">Coordination with related plans (IR-3(2))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response testing with the organizational elements responsible for related plans, such as contingency, continuity and crisis communications plans. (IR-3(2))</w:t>
      </w:r>
    </w:p>
    <w:bookmarkEnd w:id="23"/>
    <w:bookmarkStart w:id="24" w:name="incident-handling-ir-4"/>
    <w:p>
      <w:pPr>
        <w:pStyle w:val="Heading3"/>
      </w:pPr>
      <w:r>
        <w:t xml:space="preserve">Incident handling (IR-4)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4"/>
    <w:bookmarkStart w:id="25" w:name="X4bc837c11c3beea19d377af594e0eff32dfdc04"/>
    <w:p>
      <w:pPr>
        <w:pStyle w:val="Heading3"/>
      </w:pPr>
      <w:r>
        <w:t xml:space="preserve">Automated incident handling processes (IR-4(1))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support the incident handling process using</w:t>
      </w:r>
      <w:r>
        <w:t xml:space="preserve"> </w:t>
      </w:r>
      <w:r>
        <w:rPr>
          <w:rStyle w:val="Fill-in"/>
        </w:rPr>
        <w:t xml:space="preserve">[Fill in: automated mechanisms used to support the incident handling process. Typical: the case management system and automated playbooks in the security operations platform]</w:t>
      </w:r>
      <w:r>
        <w:t xml:space="preserve">. (IR-4(1))</w:t>
      </w:r>
    </w:p>
    <w:bookmarkEnd w:id="25"/>
    <w:bookmarkStart w:id="26" w:name="information-correlation-ir-44"/>
    <w:p>
      <w:pPr>
        <w:pStyle w:val="Heading3"/>
      </w:pPr>
      <w:r>
        <w:t xml:space="preserve">Information correlation (IR-4(4))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correlate incident information and individual incident responses to achieve an organization-wide perspective on incident awareness and response. (IR-4(4))</w:t>
      </w:r>
    </w:p>
    <w:bookmarkEnd w:id="26"/>
    <w:bookmarkStart w:id="27" w:name="integrated-incident-response-team-ir-411"/>
    <w:p>
      <w:pPr>
        <w:pStyle w:val="Heading3"/>
      </w:pPr>
      <w:r>
        <w:t xml:space="preserve">Integrated incident response team (IR-4(11))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and maintain an integrated incident response team that can be deployed to any location the organization identifies within</w:t>
      </w:r>
      <w:r>
        <w:t xml:space="preserve"> </w:t>
      </w:r>
      <w:r>
        <w:rPr>
          <w:rStyle w:val="Fill-in"/>
        </w:rPr>
        <w:t xml:space="preserve">[Fill in: the time period within which an integrated incident response team can be deployed. Typical: 24 hours]</w:t>
      </w:r>
      <w:r>
        <w:t xml:space="preserve">. (IR-4(11))</w:t>
      </w:r>
    </w:p>
    <w:bookmarkEnd w:id="27"/>
    <w:bookmarkStart w:id="28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8"/>
    <w:bookmarkStart w:id="29" w:name="Xee4a0c18e25c51510d14e81fd3d463b890319f6"/>
    <w:p>
      <w:pPr>
        <w:pStyle w:val="Heading3"/>
      </w:pPr>
      <w:r>
        <w:t xml:space="preserve">Automated tracking, data collection and analysis (IR-5(1))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incidents and collect and analyze incident information using</w:t>
      </w:r>
      <w:r>
        <w:t xml:space="preserve"> </w:t>
      </w:r>
      <w:r>
        <w:rPr>
          <w:rStyle w:val="Fill-in"/>
        </w:rPr>
        <w:t xml:space="preserve">[Fill in: automated mechanisms. Typical: the incident case management system integrated with the security operations platform]</w:t>
      </w:r>
      <w:r>
        <w:t xml:space="preserve">. (IR-5(1))</w:t>
      </w:r>
    </w:p>
    <w:bookmarkEnd w:id="29"/>
    <w:bookmarkStart w:id="32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15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31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30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31"/>
    <w:bookmarkEnd w:id="32"/>
    <w:bookmarkStart w:id="33" w:name="automated-reporting-ir-61"/>
    <w:p>
      <w:pPr>
        <w:pStyle w:val="Heading3"/>
      </w:pPr>
      <w:r>
        <w:t xml:space="preserve">Automated reporting (IR-6(1))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using</w:t>
      </w:r>
      <w:r>
        <w:t xml:space="preserve"> </w:t>
      </w:r>
      <w:r>
        <w:rPr>
          <w:rStyle w:val="Fill-in"/>
        </w:rPr>
        <w:t xml:space="preserve">[Fill in: automated mechanisms used for reporting incidents. Typical: the incident report form and case management system, which notify the incident response team automatically]</w:t>
      </w:r>
      <w:r>
        <w:t xml:space="preserve">. (IR-6(1))</w:t>
      </w:r>
    </w:p>
    <w:bookmarkEnd w:id="33"/>
    <w:bookmarkStart w:id="34" w:name="supply-chain-coordination-ir-63"/>
    <w:p>
      <w:pPr>
        <w:pStyle w:val="Heading3"/>
      </w:pPr>
      <w:r>
        <w:t xml:space="preserve">Supply chain coordination (IR-6(3))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information to the provider of the product or service, and to other organizations in the supply chain, for system components related to an incident. (IR-6(3))</w:t>
      </w:r>
    </w:p>
    <w:bookmarkEnd w:id="34"/>
    <w:bookmarkStart w:id="35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35"/>
    <w:bookmarkStart w:id="36" w:name="Xa913bb2be269541b9eb3c4a7b9af9de430ca359"/>
    <w:p>
      <w:pPr>
        <w:pStyle w:val="Heading3"/>
      </w:pPr>
      <w:r>
        <w:t xml:space="preserve">Automation support for availability of information and support (IR-7(1))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increase the availability of incident response information and support using</w:t>
      </w:r>
      <w:r>
        <w:t xml:space="preserve"> </w:t>
      </w:r>
      <w:r>
        <w:rPr>
          <w:rStyle w:val="Fill-in"/>
        </w:rPr>
        <w:t xml:space="preserve">[Fill in: automated mechanisms used to increase the availability of incident response information and support. Typical: a self-service reporting portal and an incident response page on the intranet]</w:t>
      </w:r>
      <w:r>
        <w:t xml:space="preserve">. (IR-7(1))</w:t>
      </w:r>
    </w:p>
    <w:bookmarkEnd w:id="36"/>
    <w:bookmarkStart w:id="37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21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21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21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21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21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21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21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21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21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37"/>
    <w:bookmarkEnd w:id="38"/>
    <w:bookmarkStart w:id="4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4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3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41"/>
    <w:bookmarkEnd w:id="42"/>
    <w:bookmarkEnd w:id="4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9" Target="https://uscode.house.gov/view.xhtml?req=granuleid:USC-prelim-title44-section3554&amp;num=0&amp;edition=prelim" TargetMode="External" /><Relationship Type="http://schemas.openxmlformats.org/officeDocument/2006/relationships/hyperlink" Id="rId30" Target="https://www.cisa.gov/federal-incident-notification-guidelines" TargetMode="External" /><Relationship Type="http://schemas.openxmlformats.org/officeDocument/2006/relationships/hyperlink" Id="rId4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9" Target="https://uscode.house.gov/view.xhtml?req=granuleid:USC-prelim-title44-section3554&amp;num=0&amp;edition=prelim" TargetMode="External" /><Relationship Type="http://schemas.openxmlformats.org/officeDocument/2006/relationships/hyperlink" Id="rId30" Target="https://www.cisa.gov/federal-incident-notification-guidelines" TargetMode="External" /><Relationship Type="http://schemas.openxmlformats.org/officeDocument/2006/relationships/hyperlink" Id="rId4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