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3" w:name="incident-response-policy"/>
    <w:p>
      <w:pPr>
        <w:pStyle w:val="Heading1"/>
      </w:pPr>
      <w:r>
        <w:t xml:space="preserve">Incident Response Policy</w:t>
      </w:r>
    </w:p>
    <w:p>
      <w:pPr>
        <w:pStyle w:val="FirstParagraph"/>
      </w:pPr>
      <w:r>
        <w:rPr>
          <w:b/>
          <w:bCs/>
        </w:rPr>
        <w:t xml:space="preserve">Template version:</w:t>
      </w:r>
      <w:r>
        <w:t xml:space="preserve"> </w:t>
      </w:r>
      <w:r>
        <w:t xml:space="preserve">1.0.0 ·</w:t>
      </w:r>
      <w:r>
        <w:t xml:space="preserve"> </w:t>
      </w:r>
      <w:r>
        <w:rPr>
          <w:b/>
          <w:bCs/>
        </w:rPr>
        <w:t xml:space="preserve">Baseline:</w:t>
      </w:r>
      <w:r>
        <w:t xml:space="preserve"> </w:t>
      </w:r>
      <w:r>
        <w:t xml:space="preserve">Low ·</w:t>
      </w:r>
      <w:r>
        <w:t xml:space="preserve"> </w:t>
      </w:r>
      <w:r>
        <w:rPr>
          <w:b/>
          <w:bCs/>
        </w:rPr>
        <w:t xml:space="preserve">Edition:</w:t>
      </w:r>
      <w:r>
        <w:t xml:space="preserve"> </w:t>
      </w:r>
      <w:r>
        <w:t xml:space="preserve">Annotated (with guidance) ·</w:t>
      </w:r>
      <w:r>
        <w:t xml:space="preserve"> </w:t>
      </w:r>
      <w:r>
        <w:rPr>
          <w:b/>
          <w:bCs/>
        </w:rPr>
        <w:t xml:space="preserve">NIST basis:</w:t>
      </w:r>
      <w:r>
        <w:t xml:space="preserve"> </w:t>
      </w:r>
      <w:r>
        <w:t xml:space="preserve">SP 800-53 Rev. 5, release 5.2.0</w:t>
      </w:r>
    </w:p>
    <w:p>
      <w:pPr>
        <w:pStyle w:val="BodyText"/>
      </w:pPr>
      <w:r>
        <w:rPr>
          <w:i/>
          <w:iCs/>
        </w:rPr>
        <w:t xml:space="preserve">Tailor this template before adoption; it is not legal advice.</w:t>
      </w:r>
      <w:r>
        <w:t xml:space="preserve"> </w:t>
      </w:r>
      <w:r>
        <w:t xml:space="preserve">Latest version:</w:t>
      </w:r>
      <w:r>
        <w:t xml:space="preserve"> </w:t>
      </w:r>
      <w:hyperlink r:id="rId9">
        <w:r>
          <w:rPr>
            <w:rStyle w:val="Hyperlink"/>
          </w:rPr>
          <w:t xml:space="preserve">https://kston83.github.io/nist-guide/templates/policies/ir/</w:t>
        </w:r>
      </w:hyperlink>
      <w:r>
        <w:t xml:space="preserve">. Dedicated to the public domain under CC0 1.0 (</w:t>
      </w:r>
      <w:hyperlink r:id="rId10">
        <w:r>
          <w:rPr>
            <w:rStyle w:val="Hyperlink"/>
          </w:rPr>
          <w:t xml:space="preserve">https://creativecommons.org/publicdomain/zero/1.0/</w:t>
        </w:r>
      </w:hyperlink>
      <w:r>
        <w:t xml:space="preserve">): adopt and change it without attribution.</w:t>
      </w:r>
    </w:p>
    <w:p>
      <w:pPr>
        <w:pStyle w:val="Guidance"/>
      </w:pPr>
      <w:r>
        <w:t xml:space="preserve">The sections before and after Policy statements meet IR-1, which asks for a policy that addresses purpose, scope, roles, responsibilities, management commitment, coordination and compliance, plus procedures, dissemination, a designated official and a review cycle. Assessors check each element, so keep every section even when it is short. Each statement cites the IR-1 item it meets. If you adopt several family policies, the same sections repeat in each; that is expected, and it lets each policy stand alone.</w:t>
      </w:r>
    </w:p>
    <w:bookmarkStart w:id="11" w:name="purpose"/>
    <w:p>
      <w:pPr>
        <w:pStyle w:val="Heading2"/>
      </w:pPr>
      <w:r>
        <w:t xml:space="preserve">Purpose</w:t>
      </w:r>
    </w:p>
    <w:p>
      <w:pPr>
        <w:pStyle w:val="FirstParagraph"/>
      </w:pPr>
      <w:r>
        <w:t xml:space="preserve">This policy states what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 </w:t>
      </w:r>
      <w:r>
        <w:t xml:space="preserve">requires for Incident Response, and who is accountable for meeting those requirements. (IR-1a.1(a))</w:t>
      </w:r>
    </w:p>
    <w:bookmarkEnd w:id="11"/>
    <w:bookmarkStart w:id="12" w:name="scope"/>
    <w:p>
      <w:pPr>
        <w:pStyle w:val="Heading2"/>
      </w:pPr>
      <w:r>
        <w:t xml:space="preserve">Scope</w:t>
      </w:r>
    </w:p>
    <w:p>
      <w:pPr>
        <w:pStyle w:val="FirstParagraph"/>
      </w:pPr>
      <w:r>
        <w:t xml:space="preserve">This policy applies at the</w:t>
      </w:r>
      <w:r>
        <w:t xml:space="preserve"> </w:t>
      </w:r>
      <w:r>
        <w:rPr>
          <w:rStyle w:val="Fill-in"/>
        </w:rPr>
        <w:t xml:space="preserve">[Select one or more: organization-level; mission/business process-level; system-level. Typical: organization-level]</w:t>
      </w:r>
      <w:r>
        <w:t xml:space="preserve"> </w:t>
      </w:r>
      <w:r>
        <w:t xml:space="preserve">to every system that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 </w:t>
      </w:r>
      <w:r>
        <w:t xml:space="preserve">owns or operates, or that is operated on its behalf, and to every person with access to those systems, including employees, contractors and partners. (IR-1a.1(a))</w:t>
      </w:r>
    </w:p>
    <w:bookmarkEnd w:id="12"/>
    <w:bookmarkStart w:id="13" w:name="roles-and-responsibilities"/>
    <w:p>
      <w:pPr>
        <w:pStyle w:val="Heading2"/>
      </w:pPr>
      <w:r>
        <w:t xml:space="preserve">Roles and responsibilities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is accountable for this policy and shall approve exceptions to it. (IR-1a.1(a))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incident response policy and procedures. Typical: Chief Information Security Officer]</w:t>
      </w:r>
      <w:r>
        <w:t xml:space="preserve"> </w:t>
      </w:r>
      <w:r>
        <w:t xml:space="preserve">shall manage the development, documentation and dissemination of this policy and its procedures. (IR-1b)</w:t>
      </w:r>
    </w:p>
    <w:p>
      <w:pPr>
        <w:pStyle w:val="Compact"/>
        <w:numPr>
          <w:ilvl w:val="0"/>
          <w:numId w:val="1001"/>
        </w:numPr>
      </w:pPr>
      <w:r>
        <w:t xml:space="preserve">Each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implement this policy for their system and document how in the system security plan. (IR-1a.1(a))</w:t>
      </w:r>
    </w:p>
    <w:p>
      <w:pPr>
        <w:pStyle w:val="Compact"/>
        <w:numPr>
          <w:ilvl w:val="0"/>
          <w:numId w:val="1001"/>
        </w:numPr>
      </w:pPr>
      <w:r>
        <w:t xml:space="preserve">Each person within scope shall follow this policy and report suspected violations to 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. (IR-1a.1(a))</w:t>
      </w:r>
    </w:p>
    <w:bookmarkEnd w:id="13"/>
    <w:bookmarkStart w:id="14" w:name="management-commitment"/>
    <w:p>
      <w:pPr>
        <w:pStyle w:val="Heading2"/>
      </w:pPr>
      <w:r>
        <w:t xml:space="preserve">Management commitment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[Senior leader]</w:t>
      </w:r>
      <w:r>
        <w:t xml:space="preserve"> </w:t>
      </w:r>
      <w:r>
        <w:t xml:space="preserve">approves this policy and shall provide the resources needed to implement it. (IR-1a.1(a))</w:t>
      </w:r>
    </w:p>
    <w:bookmarkEnd w:id="14"/>
    <w:bookmarkStart w:id="15" w:name="coordination"/>
    <w:p>
      <w:pPr>
        <w:pStyle w:val="Heading2"/>
      </w:pPr>
      <w:r>
        <w:t xml:space="preserve">Coordination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coordinate this policy with the legal, privacy, human resources and procurement functions, and with the owners of related policies, before each approval. (IR-1a.1(a))</w:t>
      </w:r>
    </w:p>
    <w:bookmarkEnd w:id="15"/>
    <w:bookmarkStart w:id="16" w:name="compliance"/>
    <w:p>
      <w:pPr>
        <w:pStyle w:val="Heading2"/>
      </w:pPr>
      <w:r>
        <w:t xml:space="preserve">Compliance</w:t>
      </w:r>
    </w:p>
    <w:p>
      <w:pPr>
        <w:pStyle w:val="Compact"/>
        <w:numPr>
          <w:ilvl w:val="0"/>
          <w:numId w:val="1002"/>
        </w:numPr>
      </w:pPr>
      <w:r>
        <w:t xml:space="preserve">This policy shall be consistent with the laws, executive orders, directives, regulations, policies, standards and guidelines that apply to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, including</w:t>
      </w:r>
      <w:r>
        <w:t xml:space="preserve"> </w:t>
      </w:r>
      <w:r>
        <w:rPr>
          <w:rStyle w:val="Fill-in"/>
        </w:rPr>
        <w:t xml:space="preserve">[Fill in: laws, regulations and standards that apply to the organization]</w:t>
      </w:r>
      <w:r>
        <w:t xml:space="preserve">. (IR-1a.1(b))</w:t>
      </w:r>
    </w:p>
    <w:p>
      <w:pPr>
        <w:pStyle w:val="Compact"/>
        <w:numPr>
          <w:ilvl w:val="0"/>
          <w:numId w:val="100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review compliance with this policy through the organization’s assessment and continuous monitoring activities. (IR-1a.1(a))</w:t>
      </w:r>
    </w:p>
    <w:p>
      <w:pPr>
        <w:pStyle w:val="Compact"/>
        <w:numPr>
          <w:ilvl w:val="0"/>
          <w:numId w:val="1002"/>
        </w:numPr>
      </w:pPr>
      <w:r>
        <w:t xml:space="preserve">An exception to this policy shall be requested in writing, approved by 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, time-limited and recorded with its compensating measures. (IR-1a.1(a))</w:t>
      </w:r>
    </w:p>
    <w:p>
      <w:pPr>
        <w:pStyle w:val="Compact"/>
        <w:numPr>
          <w:ilvl w:val="0"/>
          <w:numId w:val="1002"/>
        </w:numPr>
      </w:pPr>
      <w:r>
        <w:t xml:space="preserve">Violations of this policy shall be handled through the organization’s sanctions process. (IR-1a.1(a))</w:t>
      </w:r>
    </w:p>
    <w:bookmarkEnd w:id="16"/>
    <w:bookmarkStart w:id="17" w:name="procedures"/>
    <w:p>
      <w:pPr>
        <w:pStyle w:val="Heading2"/>
      </w:pPr>
      <w:r>
        <w:t xml:space="preserve">Procedures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incident response policy and procedures. Typical: Chief Information Security Officer]</w:t>
      </w:r>
      <w:r>
        <w:t xml:space="preserve"> </w:t>
      </w:r>
      <w:r>
        <w:t xml:space="preserve">shall ensure that documented procedures exist to implement this policy and its associated controls. (IR-1a.2)</w:t>
      </w:r>
    </w:p>
    <w:bookmarkEnd w:id="17"/>
    <w:bookmarkStart w:id="18" w:name="dissemination"/>
    <w:p>
      <w:pPr>
        <w:pStyle w:val="Heading2"/>
      </w:pPr>
      <w:r>
        <w:t xml:space="preserve">Dissemination</w:t>
      </w:r>
    </w:p>
    <w:p>
      <w:pPr>
        <w:pStyle w:val="Compact"/>
        <w:numPr>
          <w:ilvl w:val="0"/>
          <w:numId w:val="100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incident response policy and procedures. Typical: Chief Information Security Officer]</w:t>
      </w:r>
      <w:r>
        <w:t xml:space="preserve"> </w:t>
      </w:r>
      <w:r>
        <w:t xml:space="preserve">shall disseminate this policy to</w:t>
      </w:r>
      <w:r>
        <w:t xml:space="preserve"> </w:t>
      </w:r>
      <w:r>
        <w:rPr>
          <w:rStyle w:val="Fill-in"/>
        </w:rPr>
        <w:t xml:space="preserve">[Fill in: personnel or roles to whom the incident response policy is to be disseminated. Typical: everyone within its scope, through the policy library]</w:t>
      </w:r>
      <w:r>
        <w:t xml:space="preserve">. (IR-1a)</w:t>
      </w:r>
    </w:p>
    <w:p>
      <w:pPr>
        <w:pStyle w:val="Compact"/>
        <w:numPr>
          <w:ilvl w:val="0"/>
          <w:numId w:val="100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incident response policy and procedures. Typical: Chief Information Security Officer]</w:t>
      </w:r>
      <w:r>
        <w:t xml:space="preserve"> </w:t>
      </w:r>
      <w:r>
        <w:t xml:space="preserve">shall disseminate the procedures that implement this policy to</w:t>
      </w:r>
      <w:r>
        <w:t xml:space="preserve"> </w:t>
      </w:r>
      <w:r>
        <w:rPr>
          <w:rStyle w:val="Fill-in"/>
        </w:rPr>
        <w:t xml:space="preserve">[Fill in: personnel or roles to whom the incident response procedures are to be disseminated. Typical: the people who carry them out, and the system owners]</w:t>
      </w:r>
      <w:r>
        <w:t xml:space="preserve">. (IR-1a)</w:t>
      </w:r>
    </w:p>
    <w:bookmarkEnd w:id="18"/>
    <w:bookmarkStart w:id="28" w:name="policy-statements"/>
    <w:p>
      <w:pPr>
        <w:pStyle w:val="Heading2"/>
      </w:pPr>
      <w:r>
        <w:t xml:space="preserve">Policy statements</w:t>
      </w:r>
    </w:p>
    <w:p>
      <w:pPr>
        <w:pStyle w:val="Guidance"/>
      </w:pPr>
      <w:r>
        <w:t xml:space="preserve">Each statement below comes from the clause for one control or enhancement in the chosen baseline. The reference at the end of each statement names the control item it meets.</w:t>
      </w:r>
    </w:p>
    <w:bookmarkStart w:id="19" w:name="incident-response-training-ir-2"/>
    <w:p>
      <w:pPr>
        <w:pStyle w:val="Heading3"/>
      </w:pPr>
      <w:r>
        <w:t xml:space="preserve">Incident response training (IR-2)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[Incident response team]</w:t>
      </w:r>
      <w:r>
        <w:t xml:space="preserve"> </w:t>
      </w:r>
      <w:r>
        <w:t xml:space="preserve">shall provide incident response training, consistent with assigned roles and responsibilities, to system users within</w:t>
      </w:r>
      <w:r>
        <w:t xml:space="preserve"> </w:t>
      </w:r>
      <w:r>
        <w:rPr>
          <w:rStyle w:val="Fill-in"/>
        </w:rPr>
        <w:t xml:space="preserve">[Fill in: a time period within which incident response training is to be provided to system users assuming an incident response role or responsibility. Typical: 30 days]</w:t>
      </w:r>
      <w:r>
        <w:t xml:space="preserve"> </w:t>
      </w:r>
      <w:r>
        <w:t xml:space="preserve">of their assuming an incident response role or responsibility or acquiring system access. (IR-2a.1)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[Incident response team]</w:t>
      </w:r>
      <w:r>
        <w:t xml:space="preserve"> </w:t>
      </w:r>
      <w:r>
        <w:t xml:space="preserve">shall provide that training when system changes require it. (IR-2a.2)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[Incident response team]</w:t>
      </w:r>
      <w:r>
        <w:t xml:space="preserve"> </w:t>
      </w:r>
      <w:r>
        <w:t xml:space="preserve">shall provide that training</w:t>
      </w:r>
      <w:r>
        <w:t xml:space="preserve"> </w:t>
      </w:r>
      <w:r>
        <w:rPr>
          <w:rStyle w:val="Fill-in"/>
        </w:rPr>
        <w:t xml:space="preserve">[Fill in: frequency at which to provide incident response training to users. Typical: annually]</w:t>
      </w:r>
      <w:r>
        <w:t xml:space="preserve"> </w:t>
      </w:r>
      <w:r>
        <w:t xml:space="preserve">thereafter. (IR-2a.3)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[Incident response team]</w:t>
      </w:r>
      <w:r>
        <w:t xml:space="preserve"> </w:t>
      </w:r>
      <w:r>
        <w:t xml:space="preserve">shall review and update incident response training content</w:t>
      </w:r>
      <w:r>
        <w:t xml:space="preserve"> </w:t>
      </w:r>
      <w:r>
        <w:rPr>
          <w:rStyle w:val="Fill-in"/>
        </w:rPr>
        <w:t xml:space="preserve">[Fill in: frequency at which to review and update incident response training content. Typical: annually]</w:t>
      </w:r>
      <w:r>
        <w:t xml:space="preserve"> </w:t>
      </w:r>
      <w:r>
        <w:t xml:space="preserve">and following</w:t>
      </w:r>
      <w:r>
        <w:t xml:space="preserve"> </w:t>
      </w:r>
      <w:r>
        <w:rPr>
          <w:rStyle w:val="Fill-in"/>
        </w:rPr>
        <w:t xml:space="preserve">[Fill in: events that initiate a review of the incident response training content. Typical: a change to the incident response plan, and lessons learned from an incident or exercise]</w:t>
      </w:r>
      <w:r>
        <w:t xml:space="preserve">. (IR-2b)</w:t>
      </w:r>
    </w:p>
    <w:bookmarkEnd w:id="19"/>
    <w:bookmarkStart w:id="21" w:name="incident-handling-ir-4"/>
    <w:p>
      <w:pPr>
        <w:pStyle w:val="Heading3"/>
      </w:pPr>
      <w:r>
        <w:t xml:space="preserve">Incident handling (IR-4)</w:t>
      </w:r>
    </w:p>
    <w:p>
      <w:pPr>
        <w:pStyle w:val="Guidance"/>
      </w:pPr>
      <w:r>
        <w:t xml:space="preserve">IR-4a names the phases of the incident handling life cycle from NIST SP 800-61 Rev. 2. Its successor,</w:t>
      </w:r>
      <w:r>
        <w:t xml:space="preserve"> </w:t>
      </w:r>
      <w:hyperlink r:id="rId20">
        <w:r>
          <w:rPr>
            <w:rStyle w:val="Hyperlink"/>
          </w:rPr>
          <w:t xml:space="preserve">SP 800-61 Rev. 3</w:t>
        </w:r>
      </w:hyperlink>
      <w:r>
        <w:t xml:space="preserve"> </w:t>
      </w:r>
      <w:r>
        <w:t xml:space="preserve">(April 2025), organizes incident response around the CSF 2.0 Functions instead; the Incident Response Plan template follows Rev. 3 and still covers every IR-4a phase. Assessors ask for records of recent incidents that show each phase, and for evidence that a lesson learned changed a procedure.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[Incident response team]</w:t>
      </w:r>
      <w:r>
        <w:t xml:space="preserve"> </w:t>
      </w:r>
      <w:r>
        <w:t xml:space="preserve">shall implement an incident handling capability, consistent with the incident response plan, that includes preparation, detection and analysis, containment, eradication and recovery. (IR-4a)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[Incident response team]</w:t>
      </w:r>
      <w:r>
        <w:t xml:space="preserve"> </w:t>
      </w:r>
      <w:r>
        <w:t xml:space="preserve">shall coordinate incident handling activities with contingency planning activities. (IR-4b)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[Incident response team]</w:t>
      </w:r>
      <w:r>
        <w:t xml:space="preserve"> </w:t>
      </w:r>
      <w:r>
        <w:t xml:space="preserve">shall incorporate lessons learned from incident handling into incident response procedures, training and testing, and implement the resulting changes. (IR-4c)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ensure the rigor, intensity, scope and results of incident handling are comparable and predictable across the organization. (IR-4d)</w:t>
      </w:r>
    </w:p>
    <w:bookmarkEnd w:id="21"/>
    <w:bookmarkStart w:id="22" w:name="incident-monitoring-ir-5"/>
    <w:p>
      <w:pPr>
        <w:pStyle w:val="Heading3"/>
      </w:pPr>
      <w:r>
        <w:t xml:space="preserve">Incident monitoring (IR-5)</w:t>
      </w:r>
    </w:p>
    <w:p>
      <w:pPr>
        <w:pStyle w:val="Compact"/>
        <w:numPr>
          <w:ilvl w:val="0"/>
          <w:numId w:val="1006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[Incident response team]</w:t>
      </w:r>
      <w:r>
        <w:t xml:space="preserve"> </w:t>
      </w:r>
      <w:r>
        <w:t xml:space="preserve">shall track and document incidents. (IR-5)</w:t>
      </w:r>
    </w:p>
    <w:bookmarkEnd w:id="22"/>
    <w:bookmarkStart w:id="25" w:name="incident-reporting-ir-6"/>
    <w:p>
      <w:pPr>
        <w:pStyle w:val="Heading3"/>
      </w:pPr>
      <w:r>
        <w:t xml:space="preserve">Incident reporting (IR-6)</w:t>
      </w:r>
    </w:p>
    <w:p>
      <w:pPr>
        <w:pStyle w:val="Compact"/>
        <w:numPr>
          <w:ilvl w:val="0"/>
          <w:numId w:val="1007"/>
        </w:numPr>
      </w:pPr>
      <w:r>
        <w:t xml:space="preserve">All personnel shall report suspected incidents to the</w:t>
      </w:r>
      <w:r>
        <w:t xml:space="preserve"> </w:t>
      </w:r>
      <w:r>
        <w:rPr>
          <w:rStyle w:val="Fill-in"/>
        </w:rPr>
        <w:t xml:space="preserve">[Incident response team]</w:t>
      </w:r>
      <w:r>
        <w:t xml:space="preserve"> </w:t>
      </w:r>
      <w:r>
        <w:t xml:space="preserve">within</w:t>
      </w:r>
      <w:r>
        <w:t xml:space="preserve"> </w:t>
      </w:r>
      <w:r>
        <w:rPr>
          <w:rStyle w:val="Fill-in"/>
        </w:rPr>
        <w:t xml:space="preserve">[Fill in: time period for personnel to report suspected incidents to the organizational incident response capability. Typical: 1 hour of discovery]</w:t>
      </w:r>
      <w:r>
        <w:t xml:space="preserve">. (IR-6a)</w:t>
      </w:r>
    </w:p>
    <w:p>
      <w:pPr>
        <w:pStyle w:val="Compact"/>
        <w:numPr>
          <w:ilvl w:val="0"/>
          <w:numId w:val="1007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[Incident response team]</w:t>
      </w:r>
      <w:r>
        <w:t xml:space="preserve"> </w:t>
      </w:r>
      <w:r>
        <w:t xml:space="preserve">shall report incident information to</w:t>
      </w:r>
      <w:r>
        <w:t xml:space="preserve"> </w:t>
      </w:r>
      <w:r>
        <w:rPr>
          <w:rStyle w:val="Fill-in"/>
        </w:rPr>
        <w:t xml:space="preserve">[Fill in: authorities to whom incident information is to be reported. Typical: senior leadership, legal counsel, and any regulator, customer or partner that law or contract requires be notified]</w:t>
      </w:r>
      <w:r>
        <w:t xml:space="preserve">. (IR-6b)</w:t>
      </w:r>
    </w:p>
    <w:bookmarkStart w:id="24" w:name="federal-systems"/>
    <w:p>
      <w:pPr>
        <w:pStyle w:val="Heading4"/>
      </w:pPr>
      <w:r>
        <w:t xml:space="preserve">Federal systems</w:t>
      </w:r>
    </w:p>
    <w:p>
      <w:pPr>
        <w:pStyle w:val="FirstParagraph"/>
      </w:pPr>
      <w:r>
        <w:t xml:space="preserve">Federal agencies notify the Cybersecurity and Infrastructure Security Agency (CISA) of incidents under FISMA (44 U.S.C. §§ 3553 and 3554). As of September 2026, the</w:t>
      </w:r>
      <w:r>
        <w:t xml:space="preserve"> </w:t>
      </w:r>
      <w:hyperlink r:id="rId23">
        <w:r>
          <w:rPr>
            <w:rStyle w:val="Hyperlink"/>
          </w:rPr>
          <w:t xml:space="preserve">CISA Federal Incident Notification Guidelines</w:t>
        </w:r>
      </w:hyperlink>
      <w:r>
        <w:t xml:space="preserve"> </w:t>
      </w:r>
      <w:r>
        <w:t xml:space="preserve">(effective April 1, 2017) set the time frame: within one hour of the incident being identified by the agency’s top-level incident response team, security operations center or IT department.</w:t>
      </w:r>
    </w:p>
    <w:p>
      <w:pPr>
        <w:pStyle w:val="Compact"/>
        <w:numPr>
          <w:ilvl w:val="0"/>
          <w:numId w:val="1008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[Incident response team]</w:t>
      </w:r>
      <w:r>
        <w:t xml:space="preserve"> </w:t>
      </w:r>
      <w:r>
        <w:t xml:space="preserve">shall report incidents to CISA within one hour of identification, as the CISA Federal Incident Notification Guidelines require. (IR-6b)</w:t>
      </w:r>
    </w:p>
    <w:bookmarkEnd w:id="24"/>
    <w:bookmarkEnd w:id="25"/>
    <w:bookmarkStart w:id="26" w:name="incident-response-assistance-ir-7"/>
    <w:p>
      <w:pPr>
        <w:pStyle w:val="Heading3"/>
      </w:pPr>
      <w:r>
        <w:t xml:space="preserve">Incident response assistance (IR-7)</w:t>
      </w:r>
    </w:p>
    <w:p>
      <w:pPr>
        <w:pStyle w:val="Compact"/>
        <w:numPr>
          <w:ilvl w:val="0"/>
          <w:numId w:val="1009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[Incident response team]</w:t>
      </w:r>
      <w:r>
        <w:t xml:space="preserve"> </w:t>
      </w:r>
      <w:r>
        <w:t xml:space="preserve">shall provide an incident response support resource, as part of the incident response capability, that offers system users advice and assistance with handling and reporting incidents. (IR-7)</w:t>
      </w:r>
    </w:p>
    <w:bookmarkEnd w:id="26"/>
    <w:bookmarkStart w:id="27" w:name="incident-response-plan-ir-8"/>
    <w:p>
      <w:pPr>
        <w:pStyle w:val="Heading3"/>
      </w:pPr>
      <w:r>
        <w:t xml:space="preserve">Incident response plan (IR-8)</w:t>
      </w:r>
    </w:p>
    <w:p>
      <w:pPr>
        <w:pStyle w:val="Compact"/>
        <w:numPr>
          <w:ilvl w:val="0"/>
          <w:numId w:val="1010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develop an incident response plan that provides a roadmap for implementing the incident response capability. (IR-8a.1)</w:t>
      </w:r>
    </w:p>
    <w:p>
      <w:pPr>
        <w:pStyle w:val="Compact"/>
        <w:numPr>
          <w:ilvl w:val="0"/>
          <w:numId w:val="1010"/>
        </w:numPr>
      </w:pPr>
      <w:r>
        <w:t xml:space="preserve">The plan shall describe the structure and organization of the incident response capability. (IR-8a.2)</w:t>
      </w:r>
    </w:p>
    <w:p>
      <w:pPr>
        <w:pStyle w:val="Compact"/>
        <w:numPr>
          <w:ilvl w:val="0"/>
          <w:numId w:val="1010"/>
        </w:numPr>
      </w:pPr>
      <w:r>
        <w:t xml:space="preserve">The plan shall describe at a high level how the incident response capability fits into the overall organization. (IR-8a.3)</w:t>
      </w:r>
    </w:p>
    <w:p>
      <w:pPr>
        <w:pStyle w:val="Compact"/>
        <w:numPr>
          <w:ilvl w:val="0"/>
          <w:numId w:val="1010"/>
        </w:numPr>
      </w:pPr>
      <w:r>
        <w:t xml:space="preserve">The plan shall meet the organization’s unique requirements related to its mission, size, structure and functions. (IR-8a.4)</w:t>
      </w:r>
    </w:p>
    <w:p>
      <w:pPr>
        <w:pStyle w:val="Compact"/>
        <w:numPr>
          <w:ilvl w:val="0"/>
          <w:numId w:val="1010"/>
        </w:numPr>
      </w:pPr>
      <w:r>
        <w:t xml:space="preserve">The plan shall define reportable incidents. (IR-8a.5)</w:t>
      </w:r>
    </w:p>
    <w:p>
      <w:pPr>
        <w:pStyle w:val="Compact"/>
        <w:numPr>
          <w:ilvl w:val="0"/>
          <w:numId w:val="1010"/>
        </w:numPr>
      </w:pPr>
      <w:r>
        <w:t xml:space="preserve">The plan shall provide metrics for measuring the incident response capability. (IR-8a.6)</w:t>
      </w:r>
    </w:p>
    <w:p>
      <w:pPr>
        <w:pStyle w:val="Compact"/>
        <w:numPr>
          <w:ilvl w:val="0"/>
          <w:numId w:val="1010"/>
        </w:numPr>
      </w:pPr>
      <w:r>
        <w:t xml:space="preserve">The plan shall define the resources and management support needed to maintain and mature the incident response capability. (IR-8a.7)</w:t>
      </w:r>
    </w:p>
    <w:p>
      <w:pPr>
        <w:pStyle w:val="Compact"/>
        <w:numPr>
          <w:ilvl w:val="0"/>
          <w:numId w:val="1010"/>
        </w:numPr>
      </w:pPr>
      <w:r>
        <w:t xml:space="preserve">The plan shall address the sharing of incident information. (IR-8a.8)</w:t>
      </w:r>
    </w:p>
    <w:p>
      <w:pPr>
        <w:pStyle w:val="Compact"/>
        <w:numPr>
          <w:ilvl w:val="0"/>
          <w:numId w:val="1010"/>
        </w:numPr>
      </w:pPr>
      <w:r>
        <w:t xml:space="preserve">The plan shall be reviewed and approved by</w:t>
      </w:r>
      <w:r>
        <w:t xml:space="preserve"> </w:t>
      </w:r>
      <w:r>
        <w:rPr>
          <w:rStyle w:val="Fill-in"/>
        </w:rPr>
        <w:t xml:space="preserve">[Fill in: personnel or roles that review and approve the incident response plan. Typical: the Chief Information Security Officer]</w:t>
      </w:r>
      <w:r>
        <w:t xml:space="preserve"> </w:t>
      </w:r>
      <w:r>
        <w:rPr>
          <w:rStyle w:val="Fill-in"/>
        </w:rPr>
        <w:t xml:space="preserve">[Fill in: the frequency at which to review and approve the incident response plan. Typical: annually]</w:t>
      </w:r>
      <w:r>
        <w:t xml:space="preserve">. (IR-8a.9)</w:t>
      </w:r>
    </w:p>
    <w:p>
      <w:pPr>
        <w:pStyle w:val="Compact"/>
        <w:numPr>
          <w:ilvl w:val="0"/>
          <w:numId w:val="1010"/>
        </w:numPr>
      </w:pPr>
      <w:r>
        <w:t xml:space="preserve">The plan shall explicitly designate responsibility for incident response to</w:t>
      </w:r>
      <w:r>
        <w:t xml:space="preserve"> </w:t>
      </w:r>
      <w:r>
        <w:rPr>
          <w:rStyle w:val="Fill-in"/>
        </w:rPr>
        <w:t xml:space="preserve">[Fill in: entities, personnel, or roles with designated responsibility for incident response. Typical: the incident response team, led by its designated lead]</w:t>
      </w:r>
      <w:r>
        <w:t xml:space="preserve">. (IR-8a.10)</w:t>
      </w:r>
    </w:p>
    <w:p>
      <w:pPr>
        <w:pStyle w:val="Compact"/>
        <w:numPr>
          <w:ilvl w:val="0"/>
          <w:numId w:val="1010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distribute copies of the plan to</w:t>
      </w:r>
      <w:r>
        <w:t xml:space="preserve"> </w:t>
      </w:r>
      <w:r>
        <w:rPr>
          <w:rStyle w:val="Fill-in"/>
        </w:rPr>
        <w:t xml:space="preserve">[Fill in: incident response personnel (identified by name and/or by role) to whom copies of the incident response plan are to be distributed. Typical: the incident response team members, by role]</w:t>
      </w:r>
      <w:r>
        <w:t xml:space="preserve"> </w:t>
      </w:r>
      <w:r>
        <w:t xml:space="preserve">and</w:t>
      </w:r>
      <w:r>
        <w:t xml:space="preserve"> </w:t>
      </w:r>
      <w:r>
        <w:rPr>
          <w:rStyle w:val="Fill-in"/>
        </w:rPr>
        <w:t xml:space="preserve">[Fill in: organizational elements to which copies of the incident response plan are to be distributed. Typical: the security operations, legal, communications and human resources functions]</w:t>
      </w:r>
      <w:r>
        <w:t xml:space="preserve">. (IR-8b)</w:t>
      </w:r>
    </w:p>
    <w:p>
      <w:pPr>
        <w:pStyle w:val="Compact"/>
        <w:numPr>
          <w:ilvl w:val="0"/>
          <w:numId w:val="1010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update the plan to address system and organizational changes, and problems found during its implementation, execution or testing. (IR-8c)</w:t>
      </w:r>
    </w:p>
    <w:p>
      <w:pPr>
        <w:pStyle w:val="Compact"/>
        <w:numPr>
          <w:ilvl w:val="0"/>
          <w:numId w:val="1010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communicate changes to the plan to</w:t>
      </w:r>
      <w:r>
        <w:t xml:space="preserve"> </w:t>
      </w:r>
      <w:r>
        <w:rPr>
          <w:rStyle w:val="Fill-in"/>
        </w:rPr>
        <w:t xml:space="preserve">[Fill in: incident response personnel (identified by name and/or by role) and organizational elements. Typical: everyone who received the plan]</w:t>
      </w:r>
      <w:r>
        <w:t xml:space="preserve">. (IR-8d)</w:t>
      </w:r>
    </w:p>
    <w:p>
      <w:pPr>
        <w:pStyle w:val="Compact"/>
        <w:numPr>
          <w:ilvl w:val="0"/>
          <w:numId w:val="1010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protect the plan from unauthorized disclosure and modification. (IR-8e)</w:t>
      </w:r>
    </w:p>
    <w:bookmarkEnd w:id="27"/>
    <w:bookmarkEnd w:id="28"/>
    <w:bookmarkStart w:id="32" w:name="review-and-update"/>
    <w:p>
      <w:pPr>
        <w:pStyle w:val="Heading2"/>
      </w:pPr>
      <w:r>
        <w:t xml:space="preserve">Review and update</w:t>
      </w:r>
    </w:p>
    <w:p>
      <w:pPr>
        <w:pStyle w:val="Compact"/>
        <w:numPr>
          <w:ilvl w:val="0"/>
          <w:numId w:val="101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incident response policy and procedures. Typical: Chief Information Security Officer]</w:t>
      </w:r>
      <w:r>
        <w:t xml:space="preserve"> </w:t>
      </w:r>
      <w:r>
        <w:t xml:space="preserve">shall review and update this policy</w:t>
      </w:r>
      <w:r>
        <w:t xml:space="preserve"> </w:t>
      </w:r>
      <w:r>
        <w:rPr>
          <w:rStyle w:val="Fill-in"/>
        </w:rPr>
        <w:t xml:space="preserve">[Fill in: the frequency at which the current incident response policy is reviewed and updated. Typical: annually]</w:t>
      </w:r>
      <w:r>
        <w:t xml:space="preserve"> </w:t>
      </w:r>
      <w:r>
        <w:t xml:space="preserve">and following</w:t>
      </w:r>
      <w:r>
        <w:t xml:space="preserve"> </w:t>
      </w:r>
      <w:r>
        <w:rPr>
          <w:rStyle w:val="Fill-in"/>
        </w:rPr>
        <w:t xml:space="preserve">[Fill in: events that would require the current incident response policy to be reviewed and updated. Typical: assessment or audit findings, security incidents or breaches, and changes in applicable laws, executive orders, directives, regulations, policies, standards or guidelines]</w:t>
      </w:r>
      <w:r>
        <w:t xml:space="preserve">. (IR-1c.1)</w:t>
      </w:r>
    </w:p>
    <w:p>
      <w:pPr>
        <w:pStyle w:val="Compact"/>
        <w:numPr>
          <w:ilvl w:val="0"/>
          <w:numId w:val="101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incident response policy and procedures. Typical: Chief Information Security Officer]</w:t>
      </w:r>
      <w:r>
        <w:t xml:space="preserve"> </w:t>
      </w:r>
      <w:r>
        <w:t xml:space="preserve">shall review and update the procedures that implement this policy</w:t>
      </w:r>
      <w:r>
        <w:t xml:space="preserve"> </w:t>
      </w:r>
      <w:r>
        <w:rPr>
          <w:rStyle w:val="Fill-in"/>
        </w:rPr>
        <w:t xml:space="preserve">[Fill in: the frequency at which the current incident response procedures are reviewed and updated. Typical: annually]</w:t>
      </w:r>
      <w:r>
        <w:t xml:space="preserve"> </w:t>
      </w:r>
      <w:r>
        <w:t xml:space="preserve">and following</w:t>
      </w:r>
      <w:r>
        <w:t xml:space="preserve"> </w:t>
      </w:r>
      <w:r>
        <w:rPr>
          <w:rStyle w:val="Fill-in"/>
        </w:rPr>
        <w:t xml:space="preserve">[Fill in: events that would require the incident response procedures to be reviewed and updated. Typical: the same events as the policy, and changes to the systems, tools or services the procedures describe]</w:t>
      </w:r>
      <w:r>
        <w:t xml:space="preserve">. (IR-1c.2)</w:t>
      </w:r>
    </w:p>
    <w:bookmarkStart w:id="31" w:name="federal-systems-1"/>
    <w:p>
      <w:pPr>
        <w:pStyle w:val="Heading3"/>
      </w:pPr>
      <w:r>
        <w:t xml:space="preserve">Federal systems</w:t>
      </w:r>
    </w:p>
    <w:p>
      <w:pPr>
        <w:pStyle w:val="FirstParagraph"/>
      </w:pPr>
      <w:r>
        <w:t xml:space="preserve">For federal information systems, this policy also carries out the agency’s information security responsibilities under the Federal Information Security Modernization Act of 2014 (</w:t>
      </w:r>
      <w:hyperlink r:id="rId29">
        <w:r>
          <w:rPr>
            <w:rStyle w:val="Hyperlink"/>
          </w:rPr>
          <w:t xml:space="preserve">44 U.S.C. § 3554</w:t>
        </w:r>
      </w:hyperlink>
      <w:r>
        <w:t xml:space="preserve">, Federal agency responsibilities) and</w:t>
      </w:r>
      <w:r>
        <w:t xml:space="preserve"> </w:t>
      </w:r>
      <w:hyperlink r:id="rId30">
        <w:r>
          <w:rPr>
            <w:rStyle w:val="Hyperlink"/>
          </w:rPr>
          <w:t xml:space="preserve">OMB Circular A-130</w:t>
        </w:r>
      </w:hyperlink>
      <w:r>
        <w:t xml:space="preserve">, Appendix I, Responsibilities for Protecting and Managing Federal Information Resources.</w:t>
      </w:r>
    </w:p>
    <w:p>
      <w:pPr>
        <w:pStyle w:val="Compact"/>
        <w:numPr>
          <w:ilvl w:val="0"/>
          <w:numId w:val="1012"/>
        </w:numPr>
      </w:pPr>
      <w:r>
        <w:t xml:space="preserve">Where the agency’s organization-wide policy sets a value for a parameter in this policy, each system shall use that value or a stricter one. (IR-1a.1(b))</w:t>
      </w:r>
    </w:p>
    <w:bookmarkEnd w:id="31"/>
    <w:bookmarkEnd w:id="32"/>
    <w:bookmarkEnd w:id="33"/>
    <w:sectPr>
      <w:headerReference r:id="rIdPres06Header" w:type="default"/>
      <w:footerReference r:id="rIdPres06Footer" w:type="default"/>
      <w:footnotePr>
        <w:numRestart w:val="eachSect"/>
      </w:footnotePr>
      <w:pgSz w:h="15840" w:w="12240"/>
      <w:pgMar w:bottom="1440" w:footer="720" w:gutter="0" w:header="720" w:left="1440" w:right="1440" w:top="144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Page </w:t>
    </w:r>
    <w:fldSimple w:instr=" PAGE ">
      <w:r>
        <w:t xml:space="preserve">1</w:t>
      </w:r>
    </w:fldSimple>
    <w:r>
      <w:t xml:space="preserve"> of </w:t>
    </w:r>
    <w:fldSimple w:instr=" NUMPAGES ">
      <w:r>
        <w:t xml:space="preserve">1</w:t>
      </w:r>
    </w:fldSimple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Style w:val="Header"/>
    </w:pPr>
    <w:r>
      <w:t xml:space="preserve">Incident Response Policy</w:t>
    </w:r>
    <w:r>
      <w:tab/>
    </w:r>
    <w:r>
      <w:t xml:space="preserve">Version 1.0.0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Theme="minorEastAsia" w:hAnsi="Calibri"/>
        <w:sz w:val="22"/>
        <w:szCs w:val="22"/>
        <w:lang w:bidi="ar-SA" w:eastAsia="zh-CN" w:val="en-US"/>
      </w:rPr>
    </w:rPrDefault>
    <w:pPrDefault>
      <w:pPr>
        <w:spacing w:after="120" w:line="264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60" w:before="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pPr>
      <w:spacing w:after="240"/>
      <w:contextualSpacing/>
    </w:pPr>
    <w:rPr>
      <w:rFonts w:ascii="Georgia" w:cs="Georgia" w:eastAsiaTheme="minorEastAsia" w:hAnsi="Georgia"/>
      <w:color w:val="0F5C5A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spacing w:after="120" w:before="360"/>
      <w:outlineLvl w:val="0"/>
    </w:pPr>
    <w:rPr>
      <w:rFonts w:ascii="Georgia" w:cs="Georgia" w:eastAsiaTheme="minorEastAsia" w:hAnsi="Georgia"/>
      <w:color w:val="0F5C5A"/>
      <w:sz w:val="36"/>
      <w:szCs w:val="36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after="100" w:before="300"/>
      <w:outlineLvl w:val="1"/>
    </w:pPr>
    <w:rPr>
      <w:rFonts w:ascii="Georgia" w:cs="Georgia" w:eastAsiaTheme="minorEastAsia" w:hAnsi="Georgia"/>
      <w:color w:val="0F5C5A"/>
      <w:sz w:val="28"/>
      <w:szCs w:val="28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after="80" w:before="240"/>
      <w:outlineLvl w:val="2"/>
    </w:pPr>
    <w:rPr>
      <w:rFonts w:ascii="Georgia" w:cs="Georgia" w:eastAsiaTheme="minorEastAsia" w:hAnsi="Georgia"/>
      <w:b/>
      <w:bCs/>
      <w:color w:val="093A39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after="60" w:before="200"/>
      <w:outlineLvl w:val="3"/>
    </w:pPr>
    <w:rPr>
      <w:rFonts w:ascii="Calibri" w:cs="Calibri" w:eastAsiaTheme="minorEastAsia" w:hAnsi="Calibri"/>
      <w:b/>
      <w:bCs/>
      <w:color w:val="093A39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pPr>
      <w:spacing w:after="0" w:before="0"/>
    </w:pPr>
    <w:rPr>
      <w:sz w:val="20"/>
      <w:szCs w:val="20"/>
    </w:rPr>
    <w:tblPr>
      <w:tblInd w:type="dxa" w:w="0"/>
      <w:tblBorders>
        <w:top w:color="BFBFBF" w:space="0" w:sz="4" w:val="single"/>
        <w:left w:color="BFBFBF" w:space="0" w:sz="4" w:val="single"/>
        <w:bottom w:color="BFBFBF" w:space="0" w:sz="4" w:val="single"/>
        <w:right w:color="BFBFBF" w:space="0" w:sz="4" w:val="single"/>
        <w:insideH w:color="BFBFBF" w:space="0" w:sz="4" w:val="single"/>
        <w:insideV w:color="BFBFBF" w:space="0" w:sz="4" w:val="single"/>
      </w:tblBorders>
      <w:tblCellMar>
        <w:top w:type="dxa" w:w="60"/>
        <w:left w:type="dxa" w:w="108"/>
        <w:bottom w:type="dxa" w:w="60"/>
        <w:right w:type="dxa" w:w="108"/>
      </w:tblCellMar>
    </w:tblPr>
    <w:tblStylePr w:type="firstRow">
      <w:rPr>
        <w:b/>
        <w:bCs/>
        <w:color w:val="FFFFFF"/>
      </w:rPr>
      <w:tcPr>
        <w:shd w:color="auto" w:fill="0F5C5A" w:val="clear"/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0F5C5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Fill-in" w:type="character">
    <w:name w:val="Fill-in"/>
    <w:rPr>
      <w:highlight w:val="yellow"/>
    </w:rPr>
  </w:style>
  <w:style w:customStyle="1" w:styleId="Guidance" w:type="paragraph">
    <w:name w:val="Guidance"/>
    <w:basedOn w:val="Normal"/>
    <w:qFormat/>
    <w:pPr>
      <w:pBdr>
        <w:left w:color="0F5C5A" w:space="8" w:sz="18" w:val="single"/>
      </w:pBdr>
      <w:shd w:color="auto" w:fill="EAF4F3" w:val="clear"/>
      <w:ind w:left="284"/>
    </w:pPr>
    <w:rPr>
      <w:i/>
    </w:rPr>
  </w:style>
  <w:style w:styleId="Header" w:type="paragraph">
    <w:name w:val="header"/>
    <w:basedOn w:val="Normal"/>
    <w:uiPriority w:val="99"/>
    <w:unhideWhenUsed/>
    <w:pPr>
      <w:pBdr>
        <w:bottom w:color="0F5C5A" w:space="4" w:sz="4" w:val="single"/>
      </w:pBdr>
      <w:tabs>
        <w:tab w:pos="9360" w:val="right"/>
      </w:tabs>
      <w:spacing w:after="0"/>
    </w:pPr>
    <w:rPr>
      <w:color w:val="595959"/>
      <w:sz w:val="18"/>
      <w:szCs w:val="18"/>
    </w:rPr>
  </w:style>
  <w:style w:styleId="Footer" w:type="paragraph">
    <w:name w:val="footer"/>
    <w:basedOn w:val="Normal"/>
    <w:uiPriority w:val="99"/>
    <w:unhideWhenUsed/>
    <w:pPr>
      <w:jc w:val="center"/>
      <w:spacing w:after="0"/>
    </w:pPr>
    <w:rPr>
      <w:color w:val="595959"/>
      <w:sz w:val="18"/>
      <w:szCs w:val="18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Pres06Header" Target="header1.xml" Type="http://schemas.openxmlformats.org/officeDocument/2006/relationships/header" /><Relationship Id="rIdPres06Footer" Target="footer1.xml" Type="http://schemas.openxmlformats.org/officeDocument/2006/relationships/footer" /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20" Target="https://csrc.nist.gov/pubs/sp/800/61/r3/final" TargetMode="External" /><Relationship Type="http://schemas.openxmlformats.org/officeDocument/2006/relationships/hyperlink" Id="rId9" Target="https://kston83.github.io/nist-guide/templates/policies/ir/" TargetMode="External" /><Relationship Type="http://schemas.openxmlformats.org/officeDocument/2006/relationships/hyperlink" Id="rId29" Target="https://uscode.house.gov/view.xhtml?req=granuleid:USC-prelim-title44-section3554&amp;num=0&amp;edition=prelim" TargetMode="External" /><Relationship Type="http://schemas.openxmlformats.org/officeDocument/2006/relationships/hyperlink" Id="rId23" Target="https://www.cisa.gov/federal-incident-notification-guidelines" TargetMode="External" /><Relationship Type="http://schemas.openxmlformats.org/officeDocument/2006/relationships/hyperlink" Id="rId30" Target="https://www.whitehouse.gov/wp-content/uploads/legacy_drupal_files/omb/circulars/A130/a130revised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20" Target="https://csrc.nist.gov/pubs/sp/800/61/r3/final" TargetMode="External" /><Relationship Type="http://schemas.openxmlformats.org/officeDocument/2006/relationships/hyperlink" Id="rId9" Target="https://kston83.github.io/nist-guide/templates/policies/ir/" TargetMode="External" /><Relationship Type="http://schemas.openxmlformats.org/officeDocument/2006/relationships/hyperlink" Id="rId29" Target="https://uscode.house.gov/view.xhtml?req=granuleid:USC-prelim-title44-section3554&amp;num=0&amp;edition=prelim" TargetMode="External" /><Relationship Type="http://schemas.openxmlformats.org/officeDocument/2006/relationships/hyperlink" Id="rId23" Target="https://www.cisa.gov/federal-incident-notification-guidelines" TargetMode="External" /><Relationship Type="http://schemas.openxmlformats.org/officeDocument/2006/relationships/hyperlink" Id="rId30" Target="https://www.whitehouse.gov/wp-content/uploads/legacy_drupal_files/omb/circulars/A130/a130revised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2026-10-16T17:54:52Z</dcterms:created>
  <dcterms:modified xsi:type="dcterms:W3CDTF">2026-10-16T17:54:52Z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