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incident-response-policy"/>
    <w:p>
      <w:pPr>
        <w:pStyle w:val="Heading1"/>
      </w:pPr>
      <w:r>
        <w:t xml:space="preserve">Incident Response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Incident Response, and who is accountable for meeting those requirements. (IR-1a.1(a))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(IR-1a.1(a))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(IR-1a.1(a))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(IR-1b)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(IR-1a.1(a))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(IR-1a.1(a))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(IR-1a.1(a))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(IR-1a.1(a))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(IR-1a.1(b))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(IR-1a.1(a))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(IR-1a.1(a))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(IR-1a.1(a))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(IR-1a.2)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incident response policy is to be disseminated. Typical: everyone within its scope, through the policy library]</w:t>
      </w:r>
      <w:r>
        <w:t xml:space="preserve">. (IR-1a)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incident response procedures are to be disseminated. Typical: the people who carry them out, and the system owners]</w:t>
      </w:r>
      <w:r>
        <w:t xml:space="preserve">. (IR-1a)</w:t>
      </w:r>
    </w:p>
    <w:bookmarkEnd w:id="18"/>
    <w:bookmarkStart w:id="27" w:name="policy-statements"/>
    <w:p>
      <w:pPr>
        <w:pStyle w:val="Heading2"/>
      </w:pPr>
      <w:r>
        <w:t xml:space="preserve">Policy statements</w:t>
      </w:r>
    </w:p>
    <w:bookmarkStart w:id="19" w:name="incident-response-training-ir-2"/>
    <w:p>
      <w:pPr>
        <w:pStyle w:val="Heading3"/>
      </w:pPr>
      <w:r>
        <w:t xml:space="preserve">Incident response training (IR-2)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response training, consistent with assigned roles and responsibilities, to system users within</w:t>
      </w:r>
      <w:r>
        <w:t xml:space="preserve"> </w:t>
      </w:r>
      <w:r>
        <w:rPr>
          <w:rStyle w:val="Fill-in"/>
        </w:rPr>
        <w:t xml:space="preserve">[Fill in: a time period within which incident response training is to be provided to system users assuming an incident response role or responsibility. Typical: 30 days]</w:t>
      </w:r>
      <w:r>
        <w:t xml:space="preserve"> </w:t>
      </w:r>
      <w:r>
        <w:t xml:space="preserve">of their assuming an incident response role or responsibility or acquiring system access. (IR-2a.1)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 when system changes require it. (IR-2a.2)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</w:t>
      </w:r>
      <w:r>
        <w:t xml:space="preserve"> </w:t>
      </w:r>
      <w:r>
        <w:rPr>
          <w:rStyle w:val="Fill-in"/>
        </w:rPr>
        <w:t xml:space="preserve">[Fill in: frequency at which to provide incident response training to users. Typical: annually]</w:t>
      </w:r>
      <w:r>
        <w:t xml:space="preserve"> </w:t>
      </w:r>
      <w:r>
        <w:t xml:space="preserve">thereafter. (IR-2a.3)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review and update incident response training content</w:t>
      </w:r>
      <w:r>
        <w:t xml:space="preserve"> </w:t>
      </w:r>
      <w:r>
        <w:rPr>
          <w:rStyle w:val="Fill-in"/>
        </w:rPr>
        <w:t xml:space="preserve">[Fill in: frequency at which to review and update incident response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initiate a review of the incident response training content. Typical: a change to the incident response plan, and lessons learned from an incident or exercise]</w:t>
      </w:r>
      <w:r>
        <w:t xml:space="preserve">. (IR-2b)</w:t>
      </w:r>
    </w:p>
    <w:bookmarkEnd w:id="19"/>
    <w:bookmarkStart w:id="20" w:name="incident-handling-ir-4"/>
    <w:p>
      <w:pPr>
        <w:pStyle w:val="Heading3"/>
      </w:pPr>
      <w:r>
        <w:t xml:space="preserve">Incident handling (IR-4)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implement an incident handling capability, consistent with the incident response plan, that includes preparation, detection and analysis, containment, eradication and recovery. (IR-4a)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handling activities with contingency planning activities. (IR-4b)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lessons learned from incident handling into incident response procedures, training and testing, and implement the resulting changes. (IR-4c)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rigor, intensity, scope and results of incident handling are comparable and predictable across the organization. (IR-4d)</w:t>
      </w:r>
    </w:p>
    <w:bookmarkEnd w:id="20"/>
    <w:bookmarkStart w:id="21" w:name="incident-monitoring-ir-5"/>
    <w:p>
      <w:pPr>
        <w:pStyle w:val="Heading3"/>
      </w:pPr>
      <w:r>
        <w:t xml:space="preserve">Incident monitoring (IR-5)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and document incidents. (IR-5)</w:t>
      </w:r>
    </w:p>
    <w:bookmarkEnd w:id="21"/>
    <w:bookmarkStart w:id="24" w:name="incident-reporting-ir-6"/>
    <w:p>
      <w:pPr>
        <w:pStyle w:val="Heading3"/>
      </w:pPr>
      <w:r>
        <w:t xml:space="preserve">Incident reporting (IR-6)</w:t>
      </w:r>
    </w:p>
    <w:p>
      <w:pPr>
        <w:pStyle w:val="Compact"/>
        <w:numPr>
          <w:ilvl w:val="0"/>
          <w:numId w:val="1007"/>
        </w:numPr>
      </w:pPr>
      <w:r>
        <w:t xml:space="preserve">All personnel shall report suspected incidents to 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for personnel to report suspected incidents to the organizational incident response capability. Typical: 1 hour of discovery]</w:t>
      </w:r>
      <w:r>
        <w:t xml:space="preserve">. (IR-6a)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 information to</w:t>
      </w:r>
      <w:r>
        <w:t xml:space="preserve"> </w:t>
      </w:r>
      <w:r>
        <w:rPr>
          <w:rStyle w:val="Fill-in"/>
        </w:rPr>
        <w:t xml:space="preserve">[Fill in: authorities to whom incident information is to be reported. Typical: senior leadership, legal counsel, and any regulator, customer or partner that law or contract requires be notified]</w:t>
      </w:r>
      <w:r>
        <w:t xml:space="preserve">. (IR-6b)</w:t>
      </w:r>
    </w:p>
    <w:bookmarkStart w:id="23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agencies notify the Cybersecurity and Infrastructure Security Agency (CISA) of incidents under FISMA (44 U.S.C. §§ 3553 and 3554). As of September 2026, the</w:t>
      </w:r>
      <w:r>
        <w:t xml:space="preserve"> </w:t>
      </w:r>
      <w:hyperlink r:id="rId22">
        <w:r>
          <w:rPr>
            <w:rStyle w:val="Hyperlink"/>
          </w:rPr>
          <w:t xml:space="preserve">CISA Federal Incident Notification Guidelines</w:t>
        </w:r>
      </w:hyperlink>
      <w:r>
        <w:t xml:space="preserve"> </w:t>
      </w:r>
      <w:r>
        <w:t xml:space="preserve">(effective April 1, 2017) set the time frame: within one hour of the incident being identified by the agency’s top-level incident response team, security operations center or IT department.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to CISA within one hour of identification, as the CISA Federal Incident Notification Guidelines require. (IR-6b)</w:t>
      </w:r>
    </w:p>
    <w:bookmarkEnd w:id="23"/>
    <w:bookmarkEnd w:id="24"/>
    <w:bookmarkStart w:id="25" w:name="incident-response-assistance-ir-7"/>
    <w:p>
      <w:pPr>
        <w:pStyle w:val="Heading3"/>
      </w:pPr>
      <w:r>
        <w:t xml:space="preserve">Incident response assistance (IR-7)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support resource, as part of the incident response capability, that offers system users advice and assistance with handling and reporting incidents. (IR-7)</w:t>
      </w:r>
    </w:p>
    <w:bookmarkEnd w:id="25"/>
    <w:bookmarkStart w:id="26" w:name="incident-response-plan-ir-8"/>
    <w:p>
      <w:pPr>
        <w:pStyle w:val="Heading3"/>
      </w:pPr>
      <w:r>
        <w:t xml:space="preserve">Incident response plan (IR-8)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 incident response plan that provides a roadmap for implementing the incident response capability. (IR-8a.1)</w:t>
      </w:r>
    </w:p>
    <w:p>
      <w:pPr>
        <w:pStyle w:val="Compact"/>
        <w:numPr>
          <w:ilvl w:val="0"/>
          <w:numId w:val="1010"/>
        </w:numPr>
      </w:pPr>
      <w:r>
        <w:t xml:space="preserve">The plan shall describe the structure and organization of the incident response capability. (IR-8a.2)</w:t>
      </w:r>
    </w:p>
    <w:p>
      <w:pPr>
        <w:pStyle w:val="Compact"/>
        <w:numPr>
          <w:ilvl w:val="0"/>
          <w:numId w:val="1010"/>
        </w:numPr>
      </w:pPr>
      <w:r>
        <w:t xml:space="preserve">The plan shall describe at a high level how the incident response capability fits into the overall organization. (IR-8a.3)</w:t>
      </w:r>
    </w:p>
    <w:p>
      <w:pPr>
        <w:pStyle w:val="Compact"/>
        <w:numPr>
          <w:ilvl w:val="0"/>
          <w:numId w:val="1010"/>
        </w:numPr>
      </w:pPr>
      <w:r>
        <w:t xml:space="preserve">The plan shall meet the organization’s unique requirements related to its mission, size, structure and functions. (IR-8a.4)</w:t>
      </w:r>
    </w:p>
    <w:p>
      <w:pPr>
        <w:pStyle w:val="Compact"/>
        <w:numPr>
          <w:ilvl w:val="0"/>
          <w:numId w:val="1010"/>
        </w:numPr>
      </w:pPr>
      <w:r>
        <w:t xml:space="preserve">The plan shall define reportable incidents. (IR-8a.5)</w:t>
      </w:r>
    </w:p>
    <w:p>
      <w:pPr>
        <w:pStyle w:val="Compact"/>
        <w:numPr>
          <w:ilvl w:val="0"/>
          <w:numId w:val="1010"/>
        </w:numPr>
      </w:pPr>
      <w:r>
        <w:t xml:space="preserve">The plan shall provide metrics for measuring the incident response capability. (IR-8a.6)</w:t>
      </w:r>
    </w:p>
    <w:p>
      <w:pPr>
        <w:pStyle w:val="Compact"/>
        <w:numPr>
          <w:ilvl w:val="0"/>
          <w:numId w:val="1010"/>
        </w:numPr>
      </w:pPr>
      <w:r>
        <w:t xml:space="preserve">The plan shall define the resources and management support needed to maintain and mature the incident response capability. (IR-8a.7)</w:t>
      </w:r>
    </w:p>
    <w:p>
      <w:pPr>
        <w:pStyle w:val="Compact"/>
        <w:numPr>
          <w:ilvl w:val="0"/>
          <w:numId w:val="1010"/>
        </w:numPr>
      </w:pPr>
      <w:r>
        <w:t xml:space="preserve">The plan shall address the sharing of incident information. (IR-8a.8)</w:t>
      </w:r>
    </w:p>
    <w:p>
      <w:pPr>
        <w:pStyle w:val="Compact"/>
        <w:numPr>
          <w:ilvl w:val="0"/>
          <w:numId w:val="1010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that review and approve the incident response plan. Typical: the Chief Information Security Officer]</w:t>
      </w:r>
      <w:r>
        <w:t xml:space="preserve"> </w:t>
      </w:r>
      <w:r>
        <w:rPr>
          <w:rStyle w:val="Fill-in"/>
        </w:rPr>
        <w:t xml:space="preserve">[Fill in: the frequency at which to review and approve the incident response plan. Typical: annually]</w:t>
      </w:r>
      <w:r>
        <w:t xml:space="preserve">. (IR-8a.9)</w:t>
      </w:r>
    </w:p>
    <w:p>
      <w:pPr>
        <w:pStyle w:val="Compact"/>
        <w:numPr>
          <w:ilvl w:val="0"/>
          <w:numId w:val="1010"/>
        </w:numPr>
      </w:pPr>
      <w:r>
        <w:t xml:space="preserve">The plan shall explicitly designate responsibility for incident response to</w:t>
      </w:r>
      <w:r>
        <w:t xml:space="preserve"> </w:t>
      </w:r>
      <w:r>
        <w:rPr>
          <w:rStyle w:val="Fill-in"/>
        </w:rPr>
        <w:t xml:space="preserve">[Fill in: entities, personnel, or roles with designated responsibility for incident response. Typical: the incident response team, led by its designated lead]</w:t>
      </w:r>
      <w:r>
        <w:t xml:space="preserve">. (IR-8a.10)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distribute copies of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to whom copies of the incident response plan are to be distributed. Typical: the incident response team members, by role]</w:t>
      </w:r>
      <w:r>
        <w:t xml:space="preserve"> </w:t>
      </w:r>
      <w:r>
        <w:t xml:space="preserve">and</w:t>
      </w:r>
      <w:r>
        <w:t xml:space="preserve"> </w:t>
      </w:r>
      <w:r>
        <w:rPr>
          <w:rStyle w:val="Fill-in"/>
        </w:rPr>
        <w:t xml:space="preserve">[Fill in: organizational elements to which copies of the incident response plan are to be distributed. Typical: the security operations, legal, communications and human resources functions]</w:t>
      </w:r>
      <w:r>
        <w:t xml:space="preserve">. (IR-8b)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the plan to address system and organizational changes, and problems found during its implementation, execution or testing. (IR-8c)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communicate changes to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and organizational elements. Typical: everyone who received the plan]</w:t>
      </w:r>
      <w:r>
        <w:t xml:space="preserve">. (IR-8d)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the plan from unauthorized disclosure and modification. (IR-8e)</w:t>
      </w:r>
    </w:p>
    <w:bookmarkEnd w:id="26"/>
    <w:bookmarkEnd w:id="27"/>
    <w:bookmarkStart w:id="31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incident response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(IR-1c.1)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incident response procedures to be reviewed and updated. Typical: the same events as the policy, and changes to the systems, tools or services the procedures describe]</w:t>
      </w:r>
      <w:r>
        <w:t xml:space="preserve">. (IR-1c.2)</w:t>
      </w:r>
    </w:p>
    <w:bookmarkStart w:id="30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8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9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(IR-1a.1(b))</w:t>
      </w:r>
    </w:p>
    <w:bookmarkEnd w:id="30"/>
    <w:bookmarkEnd w:id="31"/>
    <w:bookmarkEnd w:id="3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Incident Response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28" Target="https://uscode.house.gov/view.xhtml?req=granuleid:USC-prelim-title44-section3554&amp;num=0&amp;edition=prelim" TargetMode="External" /><Relationship Type="http://schemas.openxmlformats.org/officeDocument/2006/relationships/hyperlink" Id="rId22" Target="https://www.cisa.gov/federal-incident-notification-guidelines" TargetMode="External" /><Relationship Type="http://schemas.openxmlformats.org/officeDocument/2006/relationships/hyperlink" Id="rId29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28" Target="https://uscode.house.gov/view.xhtml?req=granuleid:USC-prelim-title44-section3554&amp;num=0&amp;edition=prelim" TargetMode="External" /><Relationship Type="http://schemas.openxmlformats.org/officeDocument/2006/relationships/hyperlink" Id="rId22" Target="https://www.cisa.gov/federal-incident-notification-guidelines" TargetMode="External" /><Relationship Type="http://schemas.openxmlformats.org/officeDocument/2006/relationships/hyperlink" Id="rId29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