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2" w:name="maintenance-policy"/>
    <w:p>
      <w:pPr>
        <w:pStyle w:val="Heading1"/>
      </w:pPr>
      <w:r>
        <w:t xml:space="preserve">Maintenance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High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https://kston83.github.io/nist-guide/templates/policies/ma/</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Maintenance, and who is accountable for meeting those requirements. (MA-1a.1(a))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(MA-1a.1(a))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(MA-1a.1(a))</w:t>
      </w:r>
    </w:p>
    <w:p>
      <w:pPr>
        <w:pStyle w:val="Compact"/>
        <w:numPr>
          <w:ilvl w:val="0"/>
          <w:numId w:val="1001"/>
        </w:numPr>
      </w:pPr>
      <w:r>
        <w:t xml:space="preserve">The</w:t>
      </w:r>
      <w:r>
        <w:t xml:space="preserve"> </w:t>
      </w:r>
      <w:r>
        <w:rPr>
          <w:rStyle w:val="Fill-in"/>
        </w:rPr>
        <w:t xml:space="preserve">[Fill in: an official to manage the maintenance policy and procedures. Typical: Chief Information Security Officer]</w:t>
      </w:r>
      <w:r>
        <w:t xml:space="preserve"> </w:t>
      </w:r>
      <w:r>
        <w:t xml:space="preserve">shall manage the development, documentation and dissemination of this policy and its procedures. (MA-1b)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(MA-1a.1(a))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(MA-1a.1(a))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(MA-1a.1(a))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(MA-1a.1(a))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(MA-1a.1(b))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(MA-1a.1(a))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(MA-1a.1(a))</w:t>
      </w:r>
    </w:p>
    <w:p>
      <w:pPr>
        <w:pStyle w:val="Compact"/>
        <w:numPr>
          <w:ilvl w:val="0"/>
          <w:numId w:val="1002"/>
        </w:numPr>
      </w:pPr>
      <w:r>
        <w:t xml:space="preserve">Violations of this policy shall be handled through the organization’s sanctions process. (MA-1a.1(a))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maintenance policy and procedures. Typical: Chief Information Security Officer]</w:t>
      </w:r>
      <w:r>
        <w:t xml:space="preserve"> </w:t>
      </w:r>
      <w:r>
        <w:t xml:space="preserve">shall ensure that documented procedures exist to implement this policy and its associated controls. (MA-1a.2)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maintenance policy and procedures. Typical: Chief Information Security Officer]</w:t>
      </w:r>
      <w:r>
        <w:t xml:space="preserve"> </w:t>
      </w:r>
      <w:r>
        <w:t xml:space="preserve">shall disseminate this policy to</w:t>
      </w:r>
      <w:r>
        <w:t xml:space="preserve"> </w:t>
      </w:r>
      <w:r>
        <w:rPr>
          <w:rStyle w:val="Fill-in"/>
        </w:rPr>
        <w:t xml:space="preserve">[Fill in: personnel or roles to whom the maintenance policy is to be disseminated. Typical: everyone within its scope, through the policy library]</w:t>
      </w:r>
      <w:r>
        <w:t xml:space="preserve">. (MA-1a)</w:t>
      </w:r>
    </w:p>
    <w:p>
      <w:pPr>
        <w:pStyle w:val="Compact"/>
        <w:numPr>
          <w:ilvl w:val="0"/>
          <w:numId w:val="1003"/>
        </w:numPr>
      </w:pPr>
      <w:r>
        <w:t xml:space="preserve">The</w:t>
      </w:r>
      <w:r>
        <w:t xml:space="preserve"> </w:t>
      </w:r>
      <w:r>
        <w:rPr>
          <w:rStyle w:val="Fill-in"/>
        </w:rPr>
        <w:t xml:space="preserve">[Fill in: an official to manage the maintenance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maintenance procedures are to be disseminated. Typical: the people who carry them out, and the system owners]</w:t>
      </w:r>
      <w:r>
        <w:t xml:space="preserve">. (MA-1a)</w:t>
      </w:r>
    </w:p>
    <w:bookmarkEnd w:id="18"/>
    <w:bookmarkStart w:id="37" w:name="policy-statements"/>
    <w:p>
      <w:pPr>
        <w:pStyle w:val="Heading2"/>
      </w:pPr>
      <w:r>
        <w:t xml:space="preserve">Policy statements</w:t>
      </w:r>
    </w:p>
    <w:bookmarkStart w:id="19" w:name="controlled-maintenance-ma-2"/>
    <w:p>
      <w:pPr>
        <w:pStyle w:val="Heading3"/>
      </w:pPr>
      <w:r>
        <w:t xml:space="preserve">Controlled maintenance (MA-2)</w:t>
      </w:r>
    </w:p>
    <w:p>
      <w:pPr>
        <w:pStyle w:val="Compact"/>
        <w:numPr>
          <w:ilvl w:val="0"/>
          <w:numId w:val="1004"/>
        </w:numPr>
      </w:pPr>
      <w:r>
        <w:t xml:space="preserve">The</w:t>
      </w:r>
      <w:r>
        <w:t xml:space="preserve"> </w:t>
      </w:r>
      <w:r>
        <w:rPr>
          <w:rStyle w:val="Fill-in"/>
        </w:rPr>
        <w:t xml:space="preserve">[System owner]</w:t>
      </w:r>
      <w:r>
        <w:t xml:space="preserve"> </w:t>
      </w:r>
      <w:r>
        <w:t xml:space="preserve">shall schedule maintenance, repair and replacement of system components in accordance with manufacturer or vendor specifications and organizational requirements. (MA-2a)</w:t>
      </w:r>
    </w:p>
    <w:p>
      <w:pPr>
        <w:pStyle w:val="Compact"/>
        <w:numPr>
          <w:ilvl w:val="0"/>
          <w:numId w:val="1004"/>
        </w:numPr>
      </w:pPr>
      <w:r>
        <w:t xml:space="preserve">The</w:t>
      </w:r>
      <w:r>
        <w:t xml:space="preserve"> </w:t>
      </w:r>
      <w:r>
        <w:rPr>
          <w:rStyle w:val="Fill-in"/>
        </w:rPr>
        <w:t xml:space="preserve">[System owner]</w:t>
      </w:r>
      <w:r>
        <w:t xml:space="preserve"> </w:t>
      </w:r>
      <w:r>
        <w:t xml:space="preserve">shall document each maintenance, repair and replacement activity in the system’s maintenance records. (MA-2a)</w:t>
      </w:r>
    </w:p>
    <w:p>
      <w:pPr>
        <w:pStyle w:val="Compact"/>
        <w:numPr>
          <w:ilvl w:val="0"/>
          <w:numId w:val="1004"/>
        </w:numPr>
      </w:pPr>
      <w:r>
        <w:t xml:space="preserve">The</w:t>
      </w:r>
      <w:r>
        <w:t xml:space="preserve"> </w:t>
      </w:r>
      <w:r>
        <w:rPr>
          <w:rStyle w:val="Fill-in"/>
        </w:rPr>
        <w:t xml:space="preserve">[System owner]</w:t>
      </w:r>
      <w:r>
        <w:t xml:space="preserve"> </w:t>
      </w:r>
      <w:r>
        <w:t xml:space="preserve">shall review the maintenance records at least quarterly against the maintenance schedule and the system’s change records. (MA-2a)</w:t>
      </w:r>
    </w:p>
    <w:p>
      <w:pPr>
        <w:pStyle w:val="Compact"/>
        <w:numPr>
          <w:ilvl w:val="0"/>
          <w:numId w:val="1004"/>
        </w:numPr>
      </w:pPr>
      <w:r>
        <w:t xml:space="preserve">The</w:t>
      </w:r>
      <w:r>
        <w:t xml:space="preserve"> </w:t>
      </w:r>
      <w:r>
        <w:rPr>
          <w:rStyle w:val="Fill-in"/>
        </w:rPr>
        <w:t xml:space="preserve">[System owner]</w:t>
      </w:r>
      <w:r>
        <w:t xml:space="preserve"> </w:t>
      </w:r>
      <w:r>
        <w:t xml:space="preserve">shall approve each maintenance activity before it starts, whether it is performed on site or remotely and whether components are serviced on site or removed to another location. (MA-2b)</w:t>
      </w:r>
    </w:p>
    <w:p>
      <w:pPr>
        <w:pStyle w:val="Compact"/>
        <w:numPr>
          <w:ilvl w:val="0"/>
          <w:numId w:val="1004"/>
        </w:numPr>
      </w:pPr>
      <w:r>
        <w:t xml:space="preserve">The</w:t>
      </w:r>
      <w:r>
        <w:t xml:space="preserve"> </w:t>
      </w:r>
      <w:r>
        <w:rPr>
          <w:rStyle w:val="Fill-in"/>
        </w:rPr>
        <w:t xml:space="preserve">[System owner]</w:t>
      </w:r>
      <w:r>
        <w:t xml:space="preserve"> </w:t>
      </w:r>
      <w:r>
        <w:t xml:space="preserve">shall ensure each maintenance activity is monitored while it is performed, by an escort or by review of the session and its records. (MA-2b)</w:t>
      </w:r>
    </w:p>
    <w:p>
      <w:pPr>
        <w:pStyle w:val="Compact"/>
        <w:numPr>
          <w:ilvl w:val="0"/>
          <w:numId w:val="1004"/>
        </w:numPr>
      </w:pPr>
      <w:r>
        <w:t xml:space="preserve">Maintenance that changes the system’s configuration shall also follow the change control process (CM-3). (MA-2b)</w:t>
      </w:r>
    </w:p>
    <w:p>
      <w:pPr>
        <w:pStyle w:val="Compact"/>
        <w:numPr>
          <w:ilvl w:val="0"/>
          <w:numId w:val="1004"/>
        </w:numPr>
      </w:pPr>
      <w:r>
        <w:t xml:space="preserve">The</w:t>
      </w:r>
      <w:r>
        <w:t xml:space="preserve"> </w:t>
      </w:r>
      <w:r>
        <w:rPr>
          <w:rStyle w:val="Fill-in"/>
        </w:rPr>
        <w:t xml:space="preserve">[System owner]</w:t>
      </w:r>
      <w:r>
        <w:t xml:space="preserve"> </w:t>
      </w:r>
      <w:r>
        <w:t xml:space="preserve">shall require</w:t>
      </w:r>
      <w:r>
        <w:t xml:space="preserve"> </w:t>
      </w:r>
      <w:r>
        <w:rPr>
          <w:rStyle w:val="Fill-in"/>
        </w:rPr>
        <w:t xml:space="preserve">[Fill in: personnel or roles required to explicitly approve the removal of the system or system components from organizational facilities for off-site maintenance or repairs. Typical: the system owner]</w:t>
      </w:r>
      <w:r>
        <w:t xml:space="preserve"> </w:t>
      </w:r>
      <w:r>
        <w:t xml:space="preserve">to explicitly approve the removal of the system or system components from organizational facilities for off-site maintenance, repair or replacement. (MA-2c)</w:t>
      </w:r>
    </w:p>
    <w:p>
      <w:pPr>
        <w:pStyle w:val="Compact"/>
        <w:numPr>
          <w:ilvl w:val="0"/>
          <w:numId w:val="1004"/>
        </w:numPr>
      </w:pPr>
      <w:r>
        <w:t xml:space="preserve">The</w:t>
      </w:r>
      <w:r>
        <w:t xml:space="preserve"> </w:t>
      </w:r>
      <w:r>
        <w:rPr>
          <w:rStyle w:val="Fill-in"/>
        </w:rPr>
        <w:t xml:space="preserve">[System owner]</w:t>
      </w:r>
      <w:r>
        <w:t xml:space="preserve"> </w:t>
      </w:r>
      <w:r>
        <w:t xml:space="preserve">shall ensure equipment is sanitized to remove</w:t>
      </w:r>
      <w:r>
        <w:t xml:space="preserve"> </w:t>
      </w:r>
      <w:r>
        <w:rPr>
          <w:rStyle w:val="Fill-in"/>
        </w:rPr>
        <w:t xml:space="preserve">[Fill in: information to be removed from associated media prior to removal from organizational facilities for off-site maintenance, repair, or replacement. Typical: all organizational information, including personally identifiable information, credentials and cryptographic keys]</w:t>
      </w:r>
      <w:r>
        <w:t xml:space="preserve"> </w:t>
      </w:r>
      <w:r>
        <w:t xml:space="preserve">from associated media before it is removed from organizational facilities for off-site maintenance, repair or replacement. (MA-2d)</w:t>
      </w:r>
    </w:p>
    <w:p>
      <w:pPr>
        <w:pStyle w:val="Compact"/>
        <w:numPr>
          <w:ilvl w:val="0"/>
          <w:numId w:val="1004"/>
        </w:numPr>
      </w:pPr>
      <w:r>
        <w:t xml:space="preserve">Where storage media cannot be sanitized, such as a failed drive, the</w:t>
      </w:r>
      <w:r>
        <w:t xml:space="preserve"> </w:t>
      </w:r>
      <w:r>
        <w:rPr>
          <w:rStyle w:val="Fill-in"/>
        </w:rPr>
        <w:t xml:space="preserve">[System owner]</w:t>
      </w:r>
      <w:r>
        <w:t xml:space="preserve"> </w:t>
      </w:r>
      <w:r>
        <w:t xml:space="preserve">shall keep the media within the organization and sanitize or destroy them there, rather than release them. (MA-2d)</w:t>
      </w:r>
    </w:p>
    <w:p>
      <w:pPr>
        <w:pStyle w:val="Compact"/>
        <w:numPr>
          <w:ilvl w:val="0"/>
          <w:numId w:val="1004"/>
        </w:numPr>
      </w:pPr>
      <w:r>
        <w:t xml:space="preserve">After each maintenance, repair or replacement action, the</w:t>
      </w:r>
      <w:r>
        <w:t xml:space="preserve"> </w:t>
      </w:r>
      <w:r>
        <w:rPr>
          <w:rStyle w:val="Fill-in"/>
        </w:rPr>
        <w:t xml:space="preserve">[System owner]</w:t>
      </w:r>
      <w:r>
        <w:t xml:space="preserve"> </w:t>
      </w:r>
      <w:r>
        <w:t xml:space="preserve">shall check all potentially impacted controls to verify that they are still functioning properly. (MA-2e)</w:t>
      </w:r>
    </w:p>
    <w:p>
      <w:pPr>
        <w:pStyle w:val="Compact"/>
        <w:numPr>
          <w:ilvl w:val="0"/>
          <w:numId w:val="1004"/>
        </w:numPr>
      </w:pPr>
      <w:r>
        <w:t xml:space="preserve">The</w:t>
      </w:r>
      <w:r>
        <w:t xml:space="preserve"> </w:t>
      </w:r>
      <w:r>
        <w:rPr>
          <w:rStyle w:val="Fill-in"/>
        </w:rPr>
        <w:t xml:space="preserve">[System owner]</w:t>
      </w:r>
      <w:r>
        <w:t xml:space="preserve"> </w:t>
      </w:r>
      <w:r>
        <w:t xml:space="preserve">shall include</w:t>
      </w:r>
      <w:r>
        <w:t xml:space="preserve"> </w:t>
      </w:r>
      <w:r>
        <w:rPr>
          <w:rStyle w:val="Fill-in"/>
        </w:rPr>
        <w:t xml:space="preserve">[Fill in: information to be included in organizational maintenance records. Typical: the date and time, the system and component, a description of the maintenance performed, the names and organization of the individuals performing it, the escort’s name, the components or equipment removed or replaced, the approval, and the result of the post-maintenance control check]</w:t>
      </w:r>
      <w:r>
        <w:t xml:space="preserve"> </w:t>
      </w:r>
      <w:r>
        <w:t xml:space="preserve">in the organization’s maintenance records. (MA-2f)</w:t>
      </w:r>
    </w:p>
    <w:bookmarkEnd w:id="19"/>
    <w:bookmarkStart w:id="20" w:name="automated-maintenance-activities-ma-22"/>
    <w:p>
      <w:pPr>
        <w:pStyle w:val="Heading3"/>
      </w:pPr>
      <w:r>
        <w:t xml:space="preserve">Automated maintenance activities (MA-2(2))</w:t>
      </w:r>
    </w:p>
    <w:p>
      <w:pPr>
        <w:pStyle w:val="Compact"/>
        <w:numPr>
          <w:ilvl w:val="0"/>
          <w:numId w:val="1005"/>
        </w:numPr>
      </w:pPr>
      <w:r>
        <w:t xml:space="preserve">The</w:t>
      </w:r>
      <w:r>
        <w:t xml:space="preserve"> </w:t>
      </w:r>
      <w:r>
        <w:rPr>
          <w:rStyle w:val="Fill-in"/>
        </w:rPr>
        <w:t xml:space="preserve">[System owner]</w:t>
      </w:r>
      <w:r>
        <w:t xml:space="preserve"> </w:t>
      </w:r>
      <w:r>
        <w:t xml:space="preserve">shall schedule maintenance, repair and replacement actions for the system using</w:t>
      </w:r>
      <w:r>
        <w:t xml:space="preserve"> </w:t>
      </w:r>
      <w:r>
        <w:rPr>
          <w:rStyle w:val="Fill-in"/>
        </w:rPr>
        <w:t xml:space="preserve">[Fill in: automated mechanisms used to schedule maintenance, repair, and replacement actions for the system. Typical: the organization’s IT service management system]</w:t>
      </w:r>
      <w:r>
        <w:t xml:space="preserve">. (MA-2(2)(a))</w:t>
      </w:r>
    </w:p>
    <w:p>
      <w:pPr>
        <w:pStyle w:val="Compact"/>
        <w:numPr>
          <w:ilvl w:val="0"/>
          <w:numId w:val="1005"/>
        </w:numPr>
      </w:pPr>
      <w:r>
        <w:t xml:space="preserve">The</w:t>
      </w:r>
      <w:r>
        <w:t xml:space="preserve"> </w:t>
      </w:r>
      <w:r>
        <w:rPr>
          <w:rStyle w:val="Fill-in"/>
        </w:rPr>
        <w:t xml:space="preserve">[System owner]</w:t>
      </w:r>
      <w:r>
        <w:t xml:space="preserve"> </w:t>
      </w:r>
      <w:r>
        <w:t xml:space="preserve">shall conduct maintenance, repair and replacement actions for the system using</w:t>
      </w:r>
      <w:r>
        <w:t xml:space="preserve"> </w:t>
      </w:r>
      <w:r>
        <w:rPr>
          <w:rStyle w:val="Fill-in"/>
        </w:rPr>
        <w:t xml:space="preserve">[Fill in: automated mechanisms used to conduct maintenance, repair, and replacement actions for the system. Typical: the endpoint and configuration management tools that deploy updates, firmware and configuration changes]</w:t>
      </w:r>
      <w:r>
        <w:t xml:space="preserve">, where the action can be automated. (MA-2(2)(a))</w:t>
      </w:r>
    </w:p>
    <w:p>
      <w:pPr>
        <w:pStyle w:val="Compact"/>
        <w:numPr>
          <w:ilvl w:val="0"/>
          <w:numId w:val="1005"/>
        </w:numPr>
      </w:pPr>
      <w:r>
        <w:t xml:space="preserve">The</w:t>
      </w:r>
      <w:r>
        <w:t xml:space="preserve"> </w:t>
      </w:r>
      <w:r>
        <w:rPr>
          <w:rStyle w:val="Fill-in"/>
        </w:rPr>
        <w:t xml:space="preserve">[System owner]</w:t>
      </w:r>
      <w:r>
        <w:t xml:space="preserve"> </w:t>
      </w:r>
      <w:r>
        <w:t xml:space="preserve">shall document maintenance, repair and replacement actions for the system using</w:t>
      </w:r>
      <w:r>
        <w:t xml:space="preserve"> </w:t>
      </w:r>
      <w:r>
        <w:rPr>
          <w:rStyle w:val="Fill-in"/>
        </w:rPr>
        <w:t xml:space="preserve">[Fill in: automated mechanisms used to document maintenance, repair, and replacement actions for the system. Typical: the organization’s IT service management system, fed by the endpoint and configuration management tools]</w:t>
      </w:r>
      <w:r>
        <w:t xml:space="preserve">. (MA-2(2)(a))</w:t>
      </w:r>
    </w:p>
    <w:p>
      <w:pPr>
        <w:pStyle w:val="Compact"/>
        <w:numPr>
          <w:ilvl w:val="0"/>
          <w:numId w:val="1005"/>
        </w:numPr>
      </w:pPr>
      <w:r>
        <w:t xml:space="preserve">The</w:t>
      </w:r>
      <w:r>
        <w:t xml:space="preserve"> </w:t>
      </w:r>
      <w:r>
        <w:rPr>
          <w:rStyle w:val="Fill-in"/>
        </w:rPr>
        <w:t xml:space="preserve">[System owner]</w:t>
      </w:r>
      <w:r>
        <w:t xml:space="preserve"> </w:t>
      </w:r>
      <w:r>
        <w:t xml:space="preserve">shall ensure those mechanisms produce up-to-date, accurate and complete records of all maintenance, repair and replacement actions requested, scheduled, in process and completed. (MA-2(2)(b))</w:t>
      </w:r>
    </w:p>
    <w:bookmarkEnd w:id="20"/>
    <w:bookmarkStart w:id="21" w:name="maintenance-tools-ma-3"/>
    <w:p>
      <w:pPr>
        <w:pStyle w:val="Heading3"/>
      </w:pPr>
      <w:r>
        <w:t xml:space="preserve">Maintenance tools (MA-3)</w:t>
      </w:r>
    </w:p>
    <w:p>
      <w:pPr>
        <w:pStyle w:val="Compact"/>
        <w:numPr>
          <w:ilvl w:val="0"/>
          <w:numId w:val="1006"/>
        </w:numPr>
      </w:pPr>
      <w:r>
        <w:t xml:space="preserve">The</w:t>
      </w:r>
      <w:r>
        <w:t xml:space="preserve"> </w:t>
      </w:r>
      <w:r>
        <w:rPr>
          <w:rStyle w:val="Fill-in"/>
        </w:rPr>
        <w:t xml:space="preserve">[System owner]</w:t>
      </w:r>
      <w:r>
        <w:t xml:space="preserve"> </w:t>
      </w:r>
      <w:r>
        <w:t xml:space="preserve">shall approve each maintenance tool before it is used on the system, and record it on the system’s approved maintenance tools list. (MA-3a)</w:t>
      </w:r>
    </w:p>
    <w:p>
      <w:pPr>
        <w:pStyle w:val="Compact"/>
        <w:numPr>
          <w:ilvl w:val="0"/>
          <w:numId w:val="1006"/>
        </w:numPr>
      </w:pPr>
      <w:r>
        <w:t xml:space="preserve">The</w:t>
      </w:r>
      <w:r>
        <w:t xml:space="preserve"> </w:t>
      </w:r>
      <w:r>
        <w:rPr>
          <w:rStyle w:val="Fill-in"/>
        </w:rPr>
        <w:t xml:space="preserve">[System owner]</w:t>
      </w:r>
      <w:r>
        <w:t xml:space="preserve"> </w:t>
      </w:r>
      <w:r>
        <w:t xml:space="preserve">shall control the use of maintenance tools, so that only approved tools are used, only by authorized maintenance personnel. (MA-3a)</w:t>
      </w:r>
    </w:p>
    <w:p>
      <w:pPr>
        <w:pStyle w:val="Compact"/>
        <w:numPr>
          <w:ilvl w:val="0"/>
          <w:numId w:val="1006"/>
        </w:numPr>
      </w:pPr>
      <w:r>
        <w:t xml:space="preserve">The</w:t>
      </w:r>
      <w:r>
        <w:t xml:space="preserve"> </w:t>
      </w:r>
      <w:r>
        <w:rPr>
          <w:rStyle w:val="Fill-in"/>
        </w:rPr>
        <w:t xml:space="preserve">[System owner]</w:t>
      </w:r>
      <w:r>
        <w:t xml:space="preserve"> </w:t>
      </w:r>
      <w:r>
        <w:t xml:space="preserve">shall monitor the use of maintenance tools, through escort or session supervision and the audit records of privileged tool use (AU-2). (MA-3a)</w:t>
      </w:r>
    </w:p>
    <w:p>
      <w:pPr>
        <w:pStyle w:val="Compact"/>
        <w:numPr>
          <w:ilvl w:val="0"/>
          <w:numId w:val="1006"/>
        </w:numPr>
      </w:pPr>
      <w:r>
        <w:t xml:space="preserve">The</w:t>
      </w:r>
      <w:r>
        <w:t xml:space="preserve"> </w:t>
      </w:r>
      <w:r>
        <w:rPr>
          <w:rStyle w:val="Fill-in"/>
        </w:rPr>
        <w:t xml:space="preserve">[System owner]</w:t>
      </w:r>
      <w:r>
        <w:t xml:space="preserve"> </w:t>
      </w:r>
      <w:r>
        <w:t xml:space="preserve">shall review previously approved system maintenance tools</w:t>
      </w:r>
      <w:r>
        <w:t xml:space="preserve"> </w:t>
      </w:r>
      <w:r>
        <w:rPr>
          <w:rStyle w:val="Fill-in"/>
        </w:rPr>
        <w:t xml:space="preserve">[Fill in: frequency at which to review previously approved system maintenance tools. Typical: at least annually]</w:t>
      </w:r>
      <w:r>
        <w:t xml:space="preserve">, and withdraw approval for tools that are outdated, unsupported, no longer needed or no longer used. (MA-3b)</w:t>
      </w:r>
    </w:p>
    <w:bookmarkEnd w:id="21"/>
    <w:bookmarkStart w:id="22" w:name="inspect-tools-ma-31"/>
    <w:p>
      <w:pPr>
        <w:pStyle w:val="Heading3"/>
      </w:pPr>
      <w:r>
        <w:t xml:space="preserve">Inspect tools (MA-3(1))</w:t>
      </w:r>
    </w:p>
    <w:p>
      <w:pPr>
        <w:pStyle w:val="Compact"/>
        <w:numPr>
          <w:ilvl w:val="0"/>
          <w:numId w:val="1007"/>
        </w:numPr>
      </w:pPr>
      <w:r>
        <w:t xml:space="preserve">The</w:t>
      </w:r>
      <w:r>
        <w:t xml:space="preserve"> </w:t>
      </w:r>
      <w:r>
        <w:rPr>
          <w:rStyle w:val="Fill-in"/>
        </w:rPr>
        <w:t xml:space="preserve">[System owner]</w:t>
      </w:r>
      <w:r>
        <w:t xml:space="preserve"> </w:t>
      </w:r>
      <w:r>
        <w:t xml:space="preserve">shall ensure the maintenance tools that maintenance personnel bring into the facility or download are inspected for improper or unauthorized modifications before each use on the system. (MA-3(1))</w:t>
      </w:r>
    </w:p>
    <w:p>
      <w:pPr>
        <w:pStyle w:val="Compact"/>
        <w:numPr>
          <w:ilvl w:val="0"/>
          <w:numId w:val="1007"/>
        </w:numPr>
      </w:pPr>
      <w:r>
        <w:t xml:space="preserve">Personnel shall report a tool found to be modified improperly, or to contain malicious code, as a security incident under the incident response plan (IR-6). (MA-3(1))</w:t>
      </w:r>
    </w:p>
    <w:bookmarkEnd w:id="22"/>
    <w:bookmarkStart w:id="23" w:name="inspect-media-ma-32"/>
    <w:p>
      <w:pPr>
        <w:pStyle w:val="Heading3"/>
      </w:pPr>
      <w:r>
        <w:t xml:space="preserve">Inspect media (MA-3(2))</w:t>
      </w:r>
    </w:p>
    <w:p>
      <w:pPr>
        <w:pStyle w:val="Compact"/>
        <w:numPr>
          <w:ilvl w:val="0"/>
          <w:numId w:val="1008"/>
        </w:numPr>
      </w:pPr>
      <w:r>
        <w:t xml:space="preserve">The</w:t>
      </w:r>
      <w:r>
        <w:t xml:space="preserve"> </w:t>
      </w:r>
      <w:r>
        <w:rPr>
          <w:rStyle w:val="Fill-in"/>
        </w:rPr>
        <w:t xml:space="preserve">[System owner]</w:t>
      </w:r>
      <w:r>
        <w:t xml:space="preserve"> </w:t>
      </w:r>
      <w:r>
        <w:t xml:space="preserve">shall ensure media containing diagnostic and test programs are checked for malicious code before the media are used in the system. (MA-3(2))</w:t>
      </w:r>
    </w:p>
    <w:p>
      <w:pPr>
        <w:pStyle w:val="Compact"/>
        <w:numPr>
          <w:ilvl w:val="0"/>
          <w:numId w:val="1008"/>
        </w:numPr>
      </w:pPr>
      <w:r>
        <w:t xml:space="preserve">Personnel shall report malicious code found on such media as a security incident under the incident response plan (IR-6), and the media shall not be used. (MA-3(2))</w:t>
      </w:r>
    </w:p>
    <w:bookmarkEnd w:id="23"/>
    <w:bookmarkStart w:id="26" w:name="prevent-unauthorized-removal-ma-33"/>
    <w:p>
      <w:pPr>
        <w:pStyle w:val="Heading3"/>
      </w:pPr>
      <w:r>
        <w:t xml:space="preserve">Prevent unauthorized removal (MA-3(3))</w:t>
      </w:r>
    </w:p>
    <w:p>
      <w:pPr>
        <w:pStyle w:val="Compact"/>
        <w:numPr>
          <w:ilvl w:val="0"/>
          <w:numId w:val="1009"/>
        </w:numPr>
      </w:pPr>
      <w:r>
        <w:t xml:space="preserve">The</w:t>
      </w:r>
      <w:r>
        <w:t xml:space="preserve"> </w:t>
      </w:r>
      <w:r>
        <w:rPr>
          <w:rStyle w:val="Fill-in"/>
        </w:rPr>
        <w:t xml:space="preserve">[System owner]</w:t>
      </w:r>
      <w:r>
        <w:t xml:space="preserve"> </w:t>
      </w:r>
      <w:r>
        <w:t xml:space="preserve">shall prevent the removal of maintenance equipment containing organizational information from the facility by verifying that there is no organizational information on the equipment, sanitizing or destroying the equipment, retaining the equipment within the facility, or obtaining a written exemption from</w:t>
      </w:r>
      <w:r>
        <w:t xml:space="preserve"> </w:t>
      </w:r>
      <w:r>
        <w:rPr>
          <w:rStyle w:val="Fill-in"/>
        </w:rPr>
        <w:t xml:space="preserve">[Fill in: personnel or roles who can authorize removal of equipment from the facility. Typical: the Chief Information Security Officer]</w:t>
      </w:r>
      <w:r>
        <w:t xml:space="preserve"> </w:t>
      </w:r>
      <w:r>
        <w:t xml:space="preserve">explicitly authorizing its removal. (MA-3(3))</w:t>
      </w:r>
    </w:p>
    <w:p>
      <w:pPr>
        <w:pStyle w:val="Compact"/>
        <w:numPr>
          <w:ilvl w:val="0"/>
          <w:numId w:val="1009"/>
        </w:numPr>
      </w:pPr>
      <w:r>
        <w:t xml:space="preserve">The</w:t>
      </w:r>
      <w:r>
        <w:t xml:space="preserve"> </w:t>
      </w:r>
      <w:r>
        <w:rPr>
          <w:rStyle w:val="Fill-in"/>
        </w:rPr>
        <w:t xml:space="preserve">[System owner]</w:t>
      </w:r>
      <w:r>
        <w:t xml:space="preserve"> </w:t>
      </w:r>
      <w:r>
        <w:t xml:space="preserve">shall record in the maintenance records which of these four measures was used for each piece of maintenance equipment. (MA-3(3))</w:t>
      </w:r>
    </w:p>
    <w:p>
      <w:pPr>
        <w:pStyle w:val="Compact"/>
        <w:numPr>
          <w:ilvl w:val="0"/>
          <w:numId w:val="1009"/>
        </w:numPr>
      </w:pPr>
      <w:r>
        <w:t xml:space="preserve">Maintenance contracts shall allow the organization to keep, sanitize or destroy maintenance equipment or its storage media that contain organizational information. (MA-3(3))</w:t>
      </w:r>
    </w:p>
    <w:bookmarkStart w:id="25" w:name="federal-systems"/>
    <w:p>
      <w:pPr>
        <w:pStyle w:val="Heading4"/>
      </w:pPr>
      <w:r>
        <w:t xml:space="preserve">Federal systems</w:t>
      </w:r>
    </w:p>
    <w:p>
      <w:pPr>
        <w:pStyle w:val="FirstParagraph"/>
      </w:pPr>
      <w:r>
        <w:t xml:space="preserve">Under</w:t>
      </w:r>
      <w:r>
        <w:t xml:space="preserve"> </w:t>
      </w:r>
      <w:hyperlink r:id="rId24">
        <w:r>
          <w:rPr>
            <w:rStyle w:val="Hyperlink"/>
          </w:rPr>
          <w:t xml:space="preserve">32 CFR 2002.14(f)(2)</w:t>
        </w:r>
      </w:hyperlink>
      <w:r>
        <w:t xml:space="preserve">, agencies that destroy controlled unclassified information (CUI), including in electronic form, must make it unreadable, indecipherable and irrecoverable. They must use any destruction method specifically required by law, regulation or Government-wide policy for that CUI; otherwise they must use the destruction guidance in NIST SP 800-53 and SP 800-88, or a method approved for classified national security information under 32 CFR 2001.47. As of September 2026.</w:t>
      </w:r>
    </w:p>
    <w:p>
      <w:pPr>
        <w:pStyle w:val="Compact"/>
        <w:numPr>
          <w:ilvl w:val="0"/>
          <w:numId w:val="1010"/>
        </w:numPr>
      </w:pPr>
      <w:r>
        <w:t xml:space="preserve">Where maintenance equipment containing CUI is destroyed to prevent its removal, the</w:t>
      </w:r>
      <w:r>
        <w:t xml:space="preserve"> </w:t>
      </w:r>
      <w:r>
        <w:rPr>
          <w:rStyle w:val="Fill-in"/>
        </w:rPr>
        <w:t xml:space="preserve">[System owner]</w:t>
      </w:r>
      <w:r>
        <w:t xml:space="preserve"> </w:t>
      </w:r>
      <w:r>
        <w:t xml:space="preserve">shall destroy it by a method that 32 CFR 2002.14(f)(2) permits. (MA-3(3)(b))</w:t>
      </w:r>
    </w:p>
    <w:bookmarkEnd w:id="25"/>
    <w:bookmarkEnd w:id="26"/>
    <w:bookmarkStart w:id="32" w:name="nonlocal-maintenance-ma-4"/>
    <w:p>
      <w:pPr>
        <w:pStyle w:val="Heading3"/>
      </w:pPr>
      <w:r>
        <w:t xml:space="preserve">Nonlocal maintenance (MA-4)</w:t>
      </w:r>
    </w:p>
    <w:p>
      <w:pPr>
        <w:pStyle w:val="Compact"/>
        <w:numPr>
          <w:ilvl w:val="0"/>
          <w:numId w:val="1011"/>
        </w:numPr>
      </w:pPr>
      <w:r>
        <w:t xml:space="preserve">The</w:t>
      </w:r>
      <w:r>
        <w:t xml:space="preserve"> </w:t>
      </w:r>
      <w:r>
        <w:rPr>
          <w:rStyle w:val="Fill-in"/>
        </w:rPr>
        <w:t xml:space="preserve">[System owner]</w:t>
      </w:r>
      <w:r>
        <w:t xml:space="preserve"> </w:t>
      </w:r>
      <w:r>
        <w:t xml:space="preserve">shall approve each nonlocal maintenance and diagnostic session before it starts. (MA-4a)</w:t>
      </w:r>
    </w:p>
    <w:p>
      <w:pPr>
        <w:pStyle w:val="Compact"/>
        <w:numPr>
          <w:ilvl w:val="0"/>
          <w:numId w:val="1011"/>
        </w:numPr>
      </w:pPr>
      <w:r>
        <w:t xml:space="preserve">The</w:t>
      </w:r>
      <w:r>
        <w:t xml:space="preserve"> </w:t>
      </w:r>
      <w:r>
        <w:rPr>
          <w:rStyle w:val="Fill-in"/>
        </w:rPr>
        <w:t xml:space="preserve">[System owner]</w:t>
      </w:r>
      <w:r>
        <w:t xml:space="preserve"> </w:t>
      </w:r>
      <w:r>
        <w:t xml:space="preserve">shall ensure each nonlocal maintenance and diagnostic session is monitored while it is in progress, through session supervision or live review of its audit records. (MA-4a)</w:t>
      </w:r>
    </w:p>
    <w:p>
      <w:pPr>
        <w:pStyle w:val="Compact"/>
        <w:numPr>
          <w:ilvl w:val="0"/>
          <w:numId w:val="1011"/>
        </w:numPr>
      </w:pPr>
      <w:r>
        <w:t xml:space="preserve">The</w:t>
      </w:r>
      <w:r>
        <w:t xml:space="preserve"> </w:t>
      </w:r>
      <w:r>
        <w:rPr>
          <w:rStyle w:val="Fill-in"/>
        </w:rPr>
        <w:t xml:space="preserve">[System owner]</w:t>
      </w:r>
      <w:r>
        <w:t xml:space="preserve"> </w:t>
      </w:r>
      <w:r>
        <w:t xml:space="preserve">shall allow the use of nonlocal maintenance and diagnostic tools only as this policy permits and as documented in the system security plan, which shall name each tool and the connection it uses. (MA-4b)</w:t>
      </w:r>
    </w:p>
    <w:p>
      <w:pPr>
        <w:pStyle w:val="Compact"/>
        <w:numPr>
          <w:ilvl w:val="0"/>
          <w:numId w:val="1011"/>
        </w:numPr>
      </w:pPr>
      <w:r>
        <w:t xml:space="preserve">Nonlocal maintenance connections shall pass through the organization’s managed remote access service, and not through a tool or connection that the maintenance provider controls on its own. (MA-4b)</w:t>
      </w:r>
    </w:p>
    <w:p>
      <w:pPr>
        <w:pStyle w:val="Compact"/>
        <w:numPr>
          <w:ilvl w:val="0"/>
          <w:numId w:val="1011"/>
        </w:numPr>
      </w:pPr>
      <w:r>
        <w:t xml:space="preserve">The</w:t>
      </w:r>
      <w:r>
        <w:t xml:space="preserve"> </w:t>
      </w:r>
      <w:r>
        <w:rPr>
          <w:rStyle w:val="Fill-in"/>
        </w:rPr>
        <w:t xml:space="preserve">[System owner]</w:t>
      </w:r>
      <w:r>
        <w:t xml:space="preserve"> </w:t>
      </w:r>
      <w:r>
        <w:t xml:space="preserve">shall ensure nonlocal maintenance and diagnostic sessions are established with strong authentication: multi-factor authentication with a replay-resistant authenticator, as required for network access to the system’s accounts (IA-2(1), IA-2(2), IA-2(8)). (MA-4c)</w:t>
      </w:r>
    </w:p>
    <w:p>
      <w:pPr>
        <w:pStyle w:val="Compact"/>
        <w:numPr>
          <w:ilvl w:val="0"/>
          <w:numId w:val="1011"/>
        </w:numPr>
      </w:pPr>
      <w:r>
        <w:t xml:space="preserve">The</w:t>
      </w:r>
      <w:r>
        <w:t xml:space="preserve"> </w:t>
      </w:r>
      <w:r>
        <w:rPr>
          <w:rStyle w:val="Fill-in"/>
        </w:rPr>
        <w:t xml:space="preserve">[Account manager]</w:t>
      </w:r>
      <w:r>
        <w:t xml:space="preserve"> </w:t>
      </w:r>
      <w:r>
        <w:t xml:space="preserve">shall keep each account used by an external maintenance provider disabled except during an approved session. (MA-4c)</w:t>
      </w:r>
    </w:p>
    <w:p>
      <w:pPr>
        <w:pStyle w:val="Compact"/>
        <w:numPr>
          <w:ilvl w:val="0"/>
          <w:numId w:val="1011"/>
        </w:numPr>
      </w:pPr>
      <w:r>
        <w:t xml:space="preserve">The</w:t>
      </w:r>
      <w:r>
        <w:t xml:space="preserve"> </w:t>
      </w:r>
      <w:r>
        <w:rPr>
          <w:rStyle w:val="Fill-in"/>
        </w:rPr>
        <w:t xml:space="preserve">[System owner]</w:t>
      </w:r>
      <w:r>
        <w:t xml:space="preserve"> </w:t>
      </w:r>
      <w:r>
        <w:t xml:space="preserve">shall maintain records of each nonlocal maintenance and diagnostic session, including who performed it, when it started and ended, what was done and who approved it. (MA-4d)</w:t>
      </w:r>
    </w:p>
    <w:p>
      <w:pPr>
        <w:pStyle w:val="Compact"/>
        <w:numPr>
          <w:ilvl w:val="0"/>
          <w:numId w:val="1011"/>
        </w:numPr>
      </w:pPr>
      <w:r>
        <w:t xml:space="preserve">The person performing nonlocal maintenance shall terminate the session and network connections when the maintenance is completed, and the</w:t>
      </w:r>
      <w:r>
        <w:t xml:space="preserve"> </w:t>
      </w:r>
      <w:r>
        <w:rPr>
          <w:rStyle w:val="Fill-in"/>
        </w:rPr>
        <w:t xml:space="preserve">[System owner]</w:t>
      </w:r>
      <w:r>
        <w:t xml:space="preserve"> </w:t>
      </w:r>
      <w:r>
        <w:t xml:space="preserve">shall ensure the system also ends them when the approved session ends. (MA-4e)</w:t>
      </w:r>
    </w:p>
    <w:bookmarkStart w:id="31" w:name="federal-systems-1"/>
    <w:p>
      <w:pPr>
        <w:pStyle w:val="Heading4"/>
      </w:pPr>
      <w:r>
        <w:t xml:space="preserve">Federal systems</w:t>
      </w:r>
    </w:p>
    <w:p>
      <w:pPr>
        <w:pStyle w:val="FirstParagraph"/>
      </w:pPr>
      <w:hyperlink r:id="rId27">
        <w:r>
          <w:rPr>
            <w:rStyle w:val="Hyperlink"/>
          </w:rPr>
          <w:t xml:space="preserve">OMB M-22-09</w:t>
        </w:r>
      </w:hyperlink>
      <w:r>
        <w:t xml:space="preserve">, Moving the U.S. Government Toward Zero Trust Cybersecurity Principles (January 26, 2022), requires phishing-resistant multi-factor authentication for agency staff, contractors and partners, enforced at the application layer.</w:t>
      </w:r>
      <w:r>
        <w:t xml:space="preserve"> </w:t>
      </w:r>
      <w:hyperlink r:id="rId28">
        <w:r>
          <w:rPr>
            <w:rStyle w:val="Hyperlink"/>
          </w:rPr>
          <w:t xml:space="preserve">OMB M-19-17</w:t>
        </w:r>
      </w:hyperlink>
      <w:r>
        <w:t xml:space="preserve"> </w:t>
      </w:r>
      <w:r>
        <w:t xml:space="preserve">(May 21, 2019), Section III, item 2, requires Personal Identity Verification (PIV) credentials, where applicable in accordance with OPM requirements, as the primary means of identification and authentication to Federal information systems by Federal employees and contractors.</w:t>
      </w:r>
      <w:r>
        <w:t xml:space="preserve"> </w:t>
      </w:r>
      <w:hyperlink r:id="rId29">
        <w:r>
          <w:rPr>
            <w:rStyle w:val="Hyperlink"/>
          </w:rPr>
          <w:t xml:space="preserve">OMB M-26-18</w:t>
        </w:r>
      </w:hyperlink>
      <w:r>
        <w:t xml:space="preserve"> </w:t>
      </w:r>
      <w:r>
        <w:t xml:space="preserve">(August 31, 2026), footnote 5, lists both memoranda as existing OMB policy. CISA</w:t>
      </w:r>
      <w:r>
        <w:t xml:space="preserve"> </w:t>
      </w:r>
      <w:hyperlink r:id="rId30">
        <w:r>
          <w:rPr>
            <w:rStyle w:val="Hyperlink"/>
          </w:rPr>
          <w:t xml:space="preserve">Binding Operational Directive 23-02</w:t>
        </w:r>
      </w:hyperlink>
      <w:r>
        <w:t xml:space="preserve">, Mitigating the Risk from Internet-Exposed Management Interfaces (June 13, 2023), covers the networked management interfaces of routers, switches, firewalls, VPN concentrators, proxies, load balancers and out-of-band server management interfaces that are reachable from the public internet, but not the management portals and APIs of cloud service offerings. Within 14 days of discovering such an interface, or of notice from CISA, agencies must either make it reachable only from an internal enterprise network or put access to it behind a zero trust policy enforcement point separate from the interface. As of September 2026.</w:t>
      </w:r>
    </w:p>
    <w:p>
      <w:pPr>
        <w:pStyle w:val="Compact"/>
        <w:numPr>
          <w:ilvl w:val="0"/>
          <w:numId w:val="1012"/>
        </w:numPr>
      </w:pPr>
      <w:r>
        <w:t xml:space="preserve">The</w:t>
      </w:r>
      <w:r>
        <w:t xml:space="preserve"> </w:t>
      </w:r>
      <w:r>
        <w:rPr>
          <w:rStyle w:val="Fill-in"/>
        </w:rPr>
        <w:t xml:space="preserve">[System owner]</w:t>
      </w:r>
      <w:r>
        <w:t xml:space="preserve"> </w:t>
      </w:r>
      <w:r>
        <w:t xml:space="preserve">shall require phishing-resistant multi-factor authentication for nonlocal maintenance sessions by agency staff, contractors and partners, as OMB M-22-09 requires, using a PIV or derived PIV credential where the person holds one, as OMB M-19-17 requires. (MA-4c)</w:t>
      </w:r>
    </w:p>
    <w:p>
      <w:pPr>
        <w:pStyle w:val="Compact"/>
        <w:numPr>
          <w:ilvl w:val="0"/>
          <w:numId w:val="1012"/>
        </w:numPr>
      </w:pPr>
      <w:r>
        <w:t xml:space="preserve">For each device within the scope of BOD 23-02, the</w:t>
      </w:r>
      <w:r>
        <w:t xml:space="preserve"> </w:t>
      </w:r>
      <w:r>
        <w:rPr>
          <w:rStyle w:val="Fill-in"/>
        </w:rPr>
        <w:t xml:space="preserve">[System owner]</w:t>
      </w:r>
      <w:r>
        <w:t xml:space="preserve"> </w:t>
      </w:r>
      <w:r>
        <w:t xml:space="preserve">shall ensure its management interface is reachable only from an internal enterprise network, or only through a policy enforcement point separate from the interface, and shall correct any exposed interface within 14 days of its discovery or of notice from CISA. (MA-4b)</w:t>
      </w:r>
    </w:p>
    <w:bookmarkEnd w:id="31"/>
    <w:bookmarkEnd w:id="32"/>
    <w:bookmarkStart w:id="33" w:name="Xf2db5c4a3fe88c0377fa4d7d88c65e18da02025"/>
    <w:p>
      <w:pPr>
        <w:pStyle w:val="Heading3"/>
      </w:pPr>
      <w:r>
        <w:t xml:space="preserve">Comparable security and sanitization (MA-4(3))</w:t>
      </w:r>
    </w:p>
    <w:p>
      <w:pPr>
        <w:pStyle w:val="Compact"/>
        <w:numPr>
          <w:ilvl w:val="0"/>
          <w:numId w:val="1013"/>
        </w:numPr>
      </w:pPr>
      <w:r>
        <w:t xml:space="preserve">The</w:t>
      </w:r>
      <w:r>
        <w:t xml:space="preserve"> </w:t>
      </w:r>
      <w:r>
        <w:rPr>
          <w:rStyle w:val="Fill-in"/>
        </w:rPr>
        <w:t xml:space="preserve">[System owner]</w:t>
      </w:r>
      <w:r>
        <w:t xml:space="preserve"> </w:t>
      </w:r>
      <w:r>
        <w:t xml:space="preserve">shall require that nonlocal maintenance and diagnostic services be performed from a system that implements a security capability comparable to the capability implemented on the system being serviced. (MA-4(3)(a))</w:t>
      </w:r>
    </w:p>
    <w:p>
      <w:pPr>
        <w:pStyle w:val="Compact"/>
        <w:numPr>
          <w:ilvl w:val="0"/>
          <w:numId w:val="1013"/>
        </w:numPr>
      </w:pPr>
      <w:r>
        <w:t xml:space="preserve">The</w:t>
      </w:r>
      <w:r>
        <w:t xml:space="preserve"> </w:t>
      </w:r>
      <w:r>
        <w:rPr>
          <w:rStyle w:val="Fill-in"/>
        </w:rPr>
        <w:t xml:space="preserve">[System owner]</w:t>
      </w:r>
      <w:r>
        <w:t xml:space="preserve"> </w:t>
      </w:r>
      <w:r>
        <w:t xml:space="preserve">shall record, for each provider of nonlocal maintenance, the basis for concluding that its capability is comparable, such as its authorization or an independent attestation. (MA-4(3)(a))</w:t>
      </w:r>
    </w:p>
    <w:p>
      <w:pPr>
        <w:pStyle w:val="Compact"/>
        <w:numPr>
          <w:ilvl w:val="0"/>
          <w:numId w:val="1013"/>
        </w:numPr>
      </w:pPr>
      <w:r>
        <w:t xml:space="preserve">Where comparable capability cannot be shown, the</w:t>
      </w:r>
      <w:r>
        <w:t xml:space="preserve"> </w:t>
      </w:r>
      <w:r>
        <w:rPr>
          <w:rStyle w:val="Fill-in"/>
        </w:rPr>
        <w:t xml:space="preserve">[System owner]</w:t>
      </w:r>
      <w:r>
        <w:t xml:space="preserve"> </w:t>
      </w:r>
      <w:r>
        <w:t xml:space="preserve">shall remove the component to be serviced from the system and sanitize it of organizational information before the nonlocal service, and inspect it and sanitize it of potentially malicious software after the service and before reconnecting it to the system. (MA-4(3)(b))</w:t>
      </w:r>
    </w:p>
    <w:bookmarkEnd w:id="33"/>
    <w:bookmarkStart w:id="34" w:name="maintenance-personnel-ma-5"/>
    <w:p>
      <w:pPr>
        <w:pStyle w:val="Heading3"/>
      </w:pPr>
      <w:r>
        <w:t xml:space="preserve">Maintenance personnel (MA-5)</w:t>
      </w:r>
    </w:p>
    <w:p>
      <w:pPr>
        <w:pStyle w:val="Compact"/>
        <w:numPr>
          <w:ilvl w:val="0"/>
          <w:numId w:val="1014"/>
        </w:numPr>
      </w:pPr>
      <w:r>
        <w:t xml:space="preserve">The</w:t>
      </w:r>
      <w:r>
        <w:t xml:space="preserve"> </w:t>
      </w:r>
      <w:r>
        <w:rPr>
          <w:rStyle w:val="Fill-in"/>
        </w:rPr>
        <w:t xml:space="preserve">[System owner]</w:t>
      </w:r>
      <w:r>
        <w:t xml:space="preserve"> </w:t>
      </w:r>
      <w:r>
        <w:t xml:space="preserve">shall establish a process for authorizing maintenance personnel, in which the system owner approves each maintenance organization and each individual before they perform maintenance. (MA-5a)</w:t>
      </w:r>
    </w:p>
    <w:p>
      <w:pPr>
        <w:pStyle w:val="Compact"/>
        <w:numPr>
          <w:ilvl w:val="0"/>
          <w:numId w:val="1014"/>
        </w:numPr>
      </w:pPr>
      <w:r>
        <w:t xml:space="preserve">The</w:t>
      </w:r>
      <w:r>
        <w:t xml:space="preserve"> </w:t>
      </w:r>
      <w:r>
        <w:rPr>
          <w:rStyle w:val="Fill-in"/>
        </w:rPr>
        <w:t xml:space="preserve">[System owner]</w:t>
      </w:r>
      <w:r>
        <w:t xml:space="preserve"> </w:t>
      </w:r>
      <w:r>
        <w:t xml:space="preserve">shall maintain a list of authorized maintenance organizations and personnel for the system, and review it at least quarterly. (MA-5a)</w:t>
      </w:r>
    </w:p>
    <w:p>
      <w:pPr>
        <w:pStyle w:val="Compact"/>
        <w:numPr>
          <w:ilvl w:val="0"/>
          <w:numId w:val="1014"/>
        </w:numPr>
      </w:pPr>
      <w:r>
        <w:t xml:space="preserve">Maintenance contracts shall require the provider to notify the organization within 24 hours when a person on the authorized list leaves the provider or no longer supports the organization, as for other external personnel (PS-7). (MA-5a)</w:t>
      </w:r>
    </w:p>
    <w:p>
      <w:pPr>
        <w:pStyle w:val="Compact"/>
        <w:numPr>
          <w:ilvl w:val="0"/>
          <w:numId w:val="1014"/>
        </w:numPr>
      </w:pPr>
      <w:r>
        <w:t xml:space="preserve">The</w:t>
      </w:r>
      <w:r>
        <w:t xml:space="preserve"> </w:t>
      </w:r>
      <w:r>
        <w:rPr>
          <w:rStyle w:val="Fill-in"/>
        </w:rPr>
        <w:t xml:space="preserve">[System owner]</w:t>
      </w:r>
      <w:r>
        <w:t xml:space="preserve"> </w:t>
      </w:r>
      <w:r>
        <w:t xml:space="preserve">shall verify that non-escorted personnel performing maintenance on the system possess the required access authorizations before the work starts. (MA-5b)</w:t>
      </w:r>
    </w:p>
    <w:p>
      <w:pPr>
        <w:pStyle w:val="Compact"/>
        <w:numPr>
          <w:ilvl w:val="0"/>
          <w:numId w:val="1014"/>
        </w:numPr>
      </w:pPr>
      <w:r>
        <w:t xml:space="preserve">The</w:t>
      </w:r>
      <w:r>
        <w:t xml:space="preserve"> </w:t>
      </w:r>
      <w:r>
        <w:rPr>
          <w:rStyle w:val="Fill-in"/>
        </w:rPr>
        <w:t xml:space="preserve">[System owner]</w:t>
      </w:r>
      <w:r>
        <w:t xml:space="preserve"> </w:t>
      </w:r>
      <w:r>
        <w:t xml:space="preserve">shall designate organizational personnel with the required access authorizations and technical competence to supervise the maintenance activities of personnel who do not possess the required access authorizations. (MA-5c)</w:t>
      </w:r>
    </w:p>
    <w:p>
      <w:pPr>
        <w:pStyle w:val="Compact"/>
        <w:numPr>
          <w:ilvl w:val="0"/>
          <w:numId w:val="1014"/>
        </w:numPr>
      </w:pPr>
      <w:r>
        <w:t xml:space="preserve">The designated supervisor shall remain with the maintenance personnel, or supervise the session, for the whole activity, and shall be recorded as the escort in the maintenance records. (MA-5c)</w:t>
      </w:r>
    </w:p>
    <w:p>
      <w:pPr>
        <w:pStyle w:val="Compact"/>
        <w:numPr>
          <w:ilvl w:val="0"/>
          <w:numId w:val="1014"/>
        </w:numPr>
      </w:pPr>
      <w:r>
        <w:t xml:space="preserve">Where maintenance personnel not on the authorized list need access with little notice, the</w:t>
      </w:r>
      <w:r>
        <w:t xml:space="preserve"> </w:t>
      </w:r>
      <w:r>
        <w:rPr>
          <w:rStyle w:val="Fill-in"/>
        </w:rPr>
        <w:t xml:space="preserve">[Account manager]</w:t>
      </w:r>
      <w:r>
        <w:t xml:space="preserve"> </w:t>
      </w:r>
      <w:r>
        <w:t xml:space="preserve">shall issue temporary credentials valid for one use or for the approved maintenance period only, and disable them when it ends. (MA-5)</w:t>
      </w:r>
    </w:p>
    <w:bookmarkEnd w:id="34"/>
    <w:bookmarkStart w:id="35" w:name="X622b7a90c368c01719e3e1a4d1a6711d061eed4"/>
    <w:p>
      <w:pPr>
        <w:pStyle w:val="Heading3"/>
      </w:pPr>
      <w:r>
        <w:t xml:space="preserve">Individuals without appropriate access (MA-5(1))</w:t>
      </w:r>
    </w:p>
    <w:p>
      <w:pPr>
        <w:pStyle w:val="Compact"/>
        <w:numPr>
          <w:ilvl w:val="0"/>
          <w:numId w:val="1015"/>
        </w:numPr>
      </w:pPr>
      <w:r>
        <w:t xml:space="preserve">The</w:t>
      </w:r>
      <w:r>
        <w:t xml:space="preserve"> </w:t>
      </w:r>
      <w:r>
        <w:rPr>
          <w:rStyle w:val="Fill-in"/>
        </w:rPr>
        <w:t xml:space="preserve">[System owner]</w:t>
      </w:r>
      <w:r>
        <w:t xml:space="preserve"> </w:t>
      </w:r>
      <w:r>
        <w:t xml:space="preserve">shall implement procedures, documented in the system security plan, for the use of maintenance personnel who lack the security clearances, citizenship or formal access approvals the system’s information requires. (MA-5(1)(a))</w:t>
      </w:r>
    </w:p>
    <w:p>
      <w:pPr>
        <w:pStyle w:val="Compact"/>
        <w:numPr>
          <w:ilvl w:val="0"/>
          <w:numId w:val="1015"/>
        </w:numPr>
      </w:pPr>
      <w:r>
        <w:t xml:space="preserve">Those maintenance personnel shall be escorted and supervised during the performance of maintenance and diagnostic activities on the system by approved organizational personnel who hold the required clearances and access authorizations and are technically qualified. (MA-5(1)(a)(1))</w:t>
      </w:r>
    </w:p>
    <w:p>
      <w:pPr>
        <w:pStyle w:val="Compact"/>
        <w:numPr>
          <w:ilvl w:val="0"/>
          <w:numId w:val="1015"/>
        </w:numPr>
      </w:pPr>
      <w:r>
        <w:t xml:space="preserve">Before such personnel begin maintenance or diagnostic activities, the</w:t>
      </w:r>
      <w:r>
        <w:t xml:space="preserve"> </w:t>
      </w:r>
      <w:r>
        <w:rPr>
          <w:rStyle w:val="Fill-in"/>
        </w:rPr>
        <w:t xml:space="preserve">[System owner]</w:t>
      </w:r>
      <w:r>
        <w:t xml:space="preserve"> </w:t>
      </w:r>
      <w:r>
        <w:t xml:space="preserve">shall ensure all volatile information storage components within the system are sanitized, and all nonvolatile storage media are removed or physically disconnected from the system and secured. (MA-5(1)(a)(2))</w:t>
      </w:r>
    </w:p>
    <w:p>
      <w:pPr>
        <w:pStyle w:val="Compact"/>
        <w:numPr>
          <w:ilvl w:val="0"/>
          <w:numId w:val="1015"/>
        </w:numPr>
      </w:pPr>
      <w:r>
        <w:t xml:space="preserve">Where a system component cannot be sanitized, removed or disconnected from the system, the</w:t>
      </w:r>
      <w:r>
        <w:t xml:space="preserve"> </w:t>
      </w:r>
      <w:r>
        <w:rPr>
          <w:rStyle w:val="Fill-in"/>
        </w:rPr>
        <w:t xml:space="preserve">[System owner]</w:t>
      </w:r>
      <w:r>
        <w:t xml:space="preserve"> </w:t>
      </w:r>
      <w:r>
        <w:t xml:space="preserve">shall develop and implement</w:t>
      </w:r>
      <w:r>
        <w:t xml:space="preserve"> </w:t>
      </w:r>
      <w:r>
        <w:rPr>
          <w:rStyle w:val="Fill-in"/>
        </w:rPr>
        <w:t xml:space="preserve">[Fill in: alternate controls to be developed and implemented in the event that a system component cannot be sanitized, removed, or disconnected from the system. Typical: continuous supervision by an escort who has the required access authorizations, is technically qualified and can end the activity at any time; screens, ports and data on the component kept out of the maintenance person’s view and reach; and review of the audit records of the activity afterward]</w:t>
      </w:r>
      <w:r>
        <w:t xml:space="preserve">. (MA-5(1)(b))</w:t>
      </w:r>
    </w:p>
    <w:bookmarkEnd w:id="35"/>
    <w:bookmarkStart w:id="36" w:name="timely-maintenance-ma-6"/>
    <w:p>
      <w:pPr>
        <w:pStyle w:val="Heading3"/>
      </w:pPr>
      <w:r>
        <w:t xml:space="preserve">Timely maintenance (MA-6)</w:t>
      </w:r>
    </w:p>
    <w:p>
      <w:pPr>
        <w:pStyle w:val="Compact"/>
        <w:numPr>
          <w:ilvl w:val="0"/>
          <w:numId w:val="1016"/>
        </w:numPr>
      </w:pPr>
      <w:r>
        <w:t xml:space="preserve">The</w:t>
      </w:r>
      <w:r>
        <w:t xml:space="preserve"> </w:t>
      </w:r>
      <w:r>
        <w:rPr>
          <w:rStyle w:val="Fill-in"/>
        </w:rPr>
        <w:t xml:space="preserve">[System owner]</w:t>
      </w:r>
      <w:r>
        <w:t xml:space="preserve"> </w:t>
      </w:r>
      <w:r>
        <w:t xml:space="preserve">shall obtain maintenance support or spare parts for</w:t>
      </w:r>
      <w:r>
        <w:t xml:space="preserve"> </w:t>
      </w:r>
      <w:r>
        <w:rPr>
          <w:rStyle w:val="Fill-in"/>
        </w:rPr>
        <w:t xml:space="preserve">[Fill in: system components for which maintenance support and/or spare parts are obtained. Typical: the components that support essential mission and business functions, as the business impact analysis identifies them, and the security components that protect them]</w:t>
      </w:r>
      <w:r>
        <w:t xml:space="preserve"> </w:t>
      </w:r>
      <w:r>
        <w:t xml:space="preserve">within</w:t>
      </w:r>
      <w:r>
        <w:t xml:space="preserve"> </w:t>
      </w:r>
      <w:r>
        <w:rPr>
          <w:rStyle w:val="Fill-in"/>
        </w:rPr>
        <w:t xml:space="preserve">[Fill in: time period within which maintenance support and/or spare parts are to be obtained after a failure. Typical: the recovery time objective set in the contingency plan from the business impact analysis]</w:t>
      </w:r>
      <w:r>
        <w:t xml:space="preserve"> </w:t>
      </w:r>
      <w:r>
        <w:t xml:space="preserve">of failure. (MA-6)</w:t>
      </w:r>
    </w:p>
    <w:p>
      <w:pPr>
        <w:pStyle w:val="Compact"/>
        <w:numPr>
          <w:ilvl w:val="0"/>
          <w:numId w:val="1016"/>
        </w:numPr>
      </w:pPr>
      <w:r>
        <w:t xml:space="preserve">The</w:t>
      </w:r>
      <w:r>
        <w:t xml:space="preserve"> </w:t>
      </w:r>
      <w:r>
        <w:rPr>
          <w:rStyle w:val="Fill-in"/>
        </w:rPr>
        <w:t xml:space="preserve">[System owner]</w:t>
      </w:r>
      <w:r>
        <w:t xml:space="preserve"> </w:t>
      </w:r>
      <w:r>
        <w:t xml:space="preserve">shall keep maintenance contracts, with response and repair times that meet that time, or spare parts on hand, for each of those components, and record the contracts in the contingency plan’s vendor contact list. (MA-6)</w:t>
      </w:r>
    </w:p>
    <w:p>
      <w:pPr>
        <w:pStyle w:val="Compact"/>
        <w:numPr>
          <w:ilvl w:val="0"/>
          <w:numId w:val="1016"/>
        </w:numPr>
      </w:pPr>
      <w:r>
        <w:t xml:space="preserve">The</w:t>
      </w:r>
      <w:r>
        <w:t xml:space="preserve"> </w:t>
      </w:r>
      <w:r>
        <w:rPr>
          <w:rStyle w:val="Fill-in"/>
        </w:rPr>
        <w:t xml:space="preserve">[System owner]</w:t>
      </w:r>
      <w:r>
        <w:t xml:space="preserve"> </w:t>
      </w:r>
      <w:r>
        <w:t xml:space="preserve">shall review the maintenance contracts and spare parts each time the contingency plan is reviewed, and before a contract expires. (MA-6)</w:t>
      </w:r>
    </w:p>
    <w:bookmarkEnd w:id="36"/>
    <w:bookmarkEnd w:id="37"/>
    <w:bookmarkStart w:id="41" w:name="review-and-update"/>
    <w:p>
      <w:pPr>
        <w:pStyle w:val="Heading2"/>
      </w:pPr>
      <w:r>
        <w:t xml:space="preserve">Review and update</w:t>
      </w:r>
    </w:p>
    <w:p>
      <w:pPr>
        <w:pStyle w:val="Compact"/>
        <w:numPr>
          <w:ilvl w:val="0"/>
          <w:numId w:val="1017"/>
        </w:numPr>
      </w:pPr>
      <w:r>
        <w:t xml:space="preserve">The</w:t>
      </w:r>
      <w:r>
        <w:t xml:space="preserve"> </w:t>
      </w:r>
      <w:r>
        <w:rPr>
          <w:rStyle w:val="Fill-in"/>
        </w:rPr>
        <w:t xml:space="preserve">[Fill in: an official to manage the maintenance policy and procedures. Typical: Chief Information Security Officer]</w:t>
      </w:r>
      <w:r>
        <w:t xml:space="preserve"> </w:t>
      </w:r>
      <w:r>
        <w:t xml:space="preserve">shall review and update this policy</w:t>
      </w:r>
      <w:r>
        <w:t xml:space="preserve"> </w:t>
      </w:r>
      <w:r>
        <w:rPr>
          <w:rStyle w:val="Fill-in"/>
        </w:rPr>
        <w:t xml:space="preserve">[Fill in: the frequency with which the current maintenance policy is reviewed and updated. Typical: annually]</w:t>
      </w:r>
      <w:r>
        <w:t xml:space="preserve"> </w:t>
      </w:r>
      <w:r>
        <w:t xml:space="preserve">and following</w:t>
      </w:r>
      <w:r>
        <w:t xml:space="preserve"> </w:t>
      </w:r>
      <w:r>
        <w:rPr>
          <w:rStyle w:val="Fill-in"/>
        </w:rPr>
        <w:t xml:space="preserve">[Fill in: events that would require the current maintenance policy to be reviewed and updated. Typical: assessment or audit findings, security incidents or breaches, and changes in applicable laws, executive orders, directives, regulations, policies, standards or guidelines]</w:t>
      </w:r>
      <w:r>
        <w:t xml:space="preserve">. (MA-1c.1)</w:t>
      </w:r>
    </w:p>
    <w:p>
      <w:pPr>
        <w:pStyle w:val="Compact"/>
        <w:numPr>
          <w:ilvl w:val="0"/>
          <w:numId w:val="1017"/>
        </w:numPr>
      </w:pPr>
      <w:r>
        <w:t xml:space="preserve">The</w:t>
      </w:r>
      <w:r>
        <w:t xml:space="preserve"> </w:t>
      </w:r>
      <w:r>
        <w:rPr>
          <w:rStyle w:val="Fill-in"/>
        </w:rPr>
        <w:t xml:space="preserve">[Fill in: an official to manage the maintenance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with which the current maintenance procedures are reviewed and updated. Typical: annually]</w:t>
      </w:r>
      <w:r>
        <w:t xml:space="preserve"> </w:t>
      </w:r>
      <w:r>
        <w:t xml:space="preserve">and following</w:t>
      </w:r>
      <w:r>
        <w:t xml:space="preserve"> </w:t>
      </w:r>
      <w:r>
        <w:rPr>
          <w:rStyle w:val="Fill-in"/>
        </w:rPr>
        <w:t xml:space="preserve">[Fill in: events that would require the maintenance procedures to be reviewed and updated. Typical: the same events as the policy, and changes to the systems, tools or services the procedures describe]</w:t>
      </w:r>
      <w:r>
        <w:t xml:space="preserve">. (MA-1c.2)</w:t>
      </w:r>
    </w:p>
    <w:bookmarkStart w:id="40" w:name="federal-systems-2"/>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38">
        <w:r>
          <w:rPr>
            <w:rStyle w:val="Hyperlink"/>
          </w:rPr>
          <w:t xml:space="preserve">44 U.S.C. § 3554</w:t>
        </w:r>
      </w:hyperlink>
      <w:r>
        <w:t xml:space="preserve">, Federal agency responsibilities) and</w:t>
      </w:r>
      <w:r>
        <w:t xml:space="preserve"> </w:t>
      </w:r>
      <w:hyperlink r:id="rId39">
        <w:r>
          <w:rPr>
            <w:rStyle w:val="Hyperlink"/>
          </w:rPr>
          <w:t xml:space="preserve">OMB Circular A-130</w:t>
        </w:r>
      </w:hyperlink>
      <w:r>
        <w:t xml:space="preserve">, Appendix I, Responsibilities for Protecting and Managing Federal Information Resources.</w:t>
      </w:r>
    </w:p>
    <w:p>
      <w:pPr>
        <w:pStyle w:val="Compact"/>
        <w:numPr>
          <w:ilvl w:val="0"/>
          <w:numId w:val="1018"/>
        </w:numPr>
      </w:pPr>
      <w:r>
        <w:t xml:space="preserve">Where the agency’s organization-wide policy sets a value for a parameter in this policy, each system shall use that value or a stricter one. (MA-1a.1(b))</w:t>
      </w:r>
    </w:p>
    <w:bookmarkEnd w:id="40"/>
    <w:bookmarkEnd w:id="41"/>
    <w:bookmarkEnd w:id="42"/>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Maintenance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ma/" TargetMode="External" /><Relationship Type="http://schemas.openxmlformats.org/officeDocument/2006/relationships/hyperlink" Id="rId38" Target="https://uscode.house.gov/view.xhtml?req=granuleid:USC-prelim-title44-section3554&amp;num=0&amp;edition=prelim" TargetMode="External" /><Relationship Type="http://schemas.openxmlformats.org/officeDocument/2006/relationships/hyperlink" Id="rId30" Target="https://www.cisa.gov/news-events/directives/binding-operational-directive-23-02" TargetMode="External" /><Relationship Type="http://schemas.openxmlformats.org/officeDocument/2006/relationships/hyperlink" Id="rId24" Target="https://www.ecfr.gov/current/title-32/section-2002.14" TargetMode="External" /><Relationship Type="http://schemas.openxmlformats.org/officeDocument/2006/relationships/hyperlink" Id="rId28" Target="https://www.whitehouse.gov/wp-content/uploads/2019/05/M-19-17.pdf" TargetMode="External" /><Relationship Type="http://schemas.openxmlformats.org/officeDocument/2006/relationships/hyperlink" Id="rId27" Target="https://www.whitehouse.gov/wp-content/uploads/2022/01/M-22-09.pdf" TargetMode="External" /><Relationship Type="http://schemas.openxmlformats.org/officeDocument/2006/relationships/hyperlink" Id="rId29" Target="https://www.whitehouse.gov/wp-content/uploads/2026/08/M-26-18-Scaling-Use-of-Login.gov-to-Deliver-a-Universal-Sign-on-for-Public-Services.pdf" TargetMode="External" /><Relationship Type="http://schemas.openxmlformats.org/officeDocument/2006/relationships/hyperlink" Id="rId39"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ma/" TargetMode="External" /><Relationship Type="http://schemas.openxmlformats.org/officeDocument/2006/relationships/hyperlink" Id="rId38" Target="https://uscode.house.gov/view.xhtml?req=granuleid:USC-prelim-title44-section3554&amp;num=0&amp;edition=prelim" TargetMode="External" /><Relationship Type="http://schemas.openxmlformats.org/officeDocument/2006/relationships/hyperlink" Id="rId30" Target="https://www.cisa.gov/news-events/directives/binding-operational-directive-23-02" TargetMode="External" /><Relationship Type="http://schemas.openxmlformats.org/officeDocument/2006/relationships/hyperlink" Id="rId24" Target="https://www.ecfr.gov/current/title-32/section-2002.14" TargetMode="External" /><Relationship Type="http://schemas.openxmlformats.org/officeDocument/2006/relationships/hyperlink" Id="rId28" Target="https://www.whitehouse.gov/wp-content/uploads/2019/05/M-19-17.pdf" TargetMode="External" /><Relationship Type="http://schemas.openxmlformats.org/officeDocument/2006/relationships/hyperlink" Id="rId27" Target="https://www.whitehouse.gov/wp-content/uploads/2022/01/M-22-09.pdf" TargetMode="External" /><Relationship Type="http://schemas.openxmlformats.org/officeDocument/2006/relationships/hyperlink" Id="rId29" Target="https://www.whitehouse.gov/wp-content/uploads/2026/08/M-26-18-Scaling-Use-of-Login.gov-to-Deliver-a-Universal-Sign-on-for-Public-Services.pdf" TargetMode="External" /><Relationship Type="http://schemas.openxmlformats.org/officeDocument/2006/relationships/hyperlink" Id="rId39"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