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33"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controlled-maintenance-ma-2"/>
    <w:p>
      <w:pPr>
        <w:pStyle w:val="Heading3"/>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19">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20">
        <w:r>
          <w:rPr>
            <w:rStyle w:val="Hyperlink"/>
          </w:rPr>
          <w:t xml:space="preserve">Guidelines for Media Sanitization</w:t>
        </w:r>
      </w:hyperlink>
      <w:r>
        <w:t xml:space="preserve"> </w:t>
      </w:r>
      <w:r>
        <w:t xml:space="preserve">(September 2025, final; as of September 2026), and record it in the</w:t>
      </w:r>
      <w:r>
        <w:t xml:space="preserve"> </w:t>
      </w:r>
      <w:hyperlink r:id="rId21">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22"/>
    <w:bookmarkStart w:id="28" w:name="nonlocal-maintenance-ma-4"/>
    <w:p>
      <w:pPr>
        <w:pStyle w:val="Heading3"/>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19">
        <w:r>
          <w:rPr>
            <w:rStyle w:val="Hyperlink"/>
          </w:rPr>
          <w:t xml:space="preserve">maintenance log</w:t>
        </w:r>
      </w:hyperlink>
      <w:r>
        <w:t xml:space="preserve"> </w:t>
      </w:r>
      <w:r>
        <w:t xml:space="preserve">records each session.</w:t>
      </w:r>
    </w:p>
    <w:p>
      <w:pPr>
        <w:pStyle w:val="Compact"/>
        <w:numPr>
          <w:ilvl w:val="0"/>
          <w:numId w:val="1005"/>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05"/>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05"/>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05"/>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05"/>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05"/>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05"/>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05"/>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7" w:name="federal-systems"/>
    <w:p>
      <w:pPr>
        <w:pStyle w:val="Heading4"/>
      </w:pPr>
      <w:r>
        <w:t xml:space="preserve">Federal systems</w:t>
      </w:r>
    </w:p>
    <w:p>
      <w:pPr>
        <w:pStyle w:val="FirstParagraph"/>
      </w:pPr>
      <w:hyperlink r:id="rId23">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4">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5">
        <w:r>
          <w:rPr>
            <w:rStyle w:val="Hyperlink"/>
          </w:rPr>
          <w:t xml:space="preserve">OMB M-26-18</w:t>
        </w:r>
      </w:hyperlink>
      <w:r>
        <w:t xml:space="preserve"> </w:t>
      </w:r>
      <w:r>
        <w:t xml:space="preserve">(August 31, 2026), footnote 5, lists both memoranda as existing OMB policy. CISA</w:t>
      </w:r>
      <w:r>
        <w:t xml:space="preserve"> </w:t>
      </w:r>
      <w:hyperlink r:id="rId26">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06"/>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06"/>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7"/>
    <w:bookmarkEnd w:id="28"/>
    <w:bookmarkStart w:id="32" w:name="maintenance-personnel-ma-5"/>
    <w:p>
      <w:pPr>
        <w:pStyle w:val="Heading3"/>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29">
        <w:r>
          <w:rPr>
            <w:rStyle w:val="Hyperlink"/>
          </w:rPr>
          <w:t xml:space="preserve">physical access list</w:t>
        </w:r>
      </w:hyperlink>
      <w:r>
        <w:t xml:space="preserve"> </w:t>
      </w:r>
      <w:r>
        <w:t xml:space="preserve">or, for visitors, the</w:t>
      </w:r>
      <w:r>
        <w:t xml:space="preserve"> </w:t>
      </w:r>
      <w:hyperlink r:id="rId30">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31">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19">
        <w:r>
          <w:rPr>
            <w:rStyle w:val="Hyperlink"/>
          </w:rPr>
          <w:t xml:space="preserve">maintenance log</w:t>
        </w:r>
      </w:hyperlink>
      <w:r>
        <w:t xml:space="preserve"> </w:t>
      </w:r>
      <w:r>
        <w:t xml:space="preserve">holds the authorized list and records each escort.</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07"/>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07"/>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07"/>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07"/>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07"/>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07"/>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32"/>
    <w:bookmarkEnd w:id="33"/>
    <w:bookmarkStart w:id="37"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08"/>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36"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4">
        <w:r>
          <w:rPr>
            <w:rStyle w:val="Hyperlink"/>
          </w:rPr>
          <w:t xml:space="preserve">44 U.S.C. § 3554</w:t>
        </w:r>
      </w:hyperlink>
      <w:r>
        <w:t xml:space="preserve">, Federal agency responsibilities) and</w:t>
      </w:r>
      <w:r>
        <w:t xml:space="preserve"> </w:t>
      </w:r>
      <w:hyperlink r:id="rId35">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(MA-1a.1(b))</w:t>
      </w:r>
    </w:p>
    <w:bookmarkEnd w:id="36"/>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29" Target="https://kston83.github.io/nist-guide/templates/forms/physical-access-list/" TargetMode="External" /><Relationship Type="http://schemas.openxmlformats.org/officeDocument/2006/relationships/hyperlink" Id="rId30" Target="https://kston83.github.io/nist-guide/templates/forms/visitor-log/" TargetMode="External" /><Relationship Type="http://schemas.openxmlformats.org/officeDocument/2006/relationships/hyperlink" Id="rId9" Target="https://kston83.github.io/nist-guide/templates/policies/ma/" TargetMode="External" /><Relationship Type="http://schemas.openxmlformats.org/officeDocument/2006/relationships/hyperlink" Id="rId31" Target="https://kston83.github.io/nist-guide/templates/policies/ps/"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26" Target="https://www.cisa.gov/news-events/directives/binding-operational-directive-23-02" TargetMode="External" /><Relationship Type="http://schemas.openxmlformats.org/officeDocument/2006/relationships/hyperlink" Id="rId24" Target="https://www.whitehouse.gov/wp-content/uploads/2019/05/M-19-17.pdf" TargetMode="External" /><Relationship Type="http://schemas.openxmlformats.org/officeDocument/2006/relationships/hyperlink" Id="rId23" Target="https://www.whitehouse.gov/wp-content/uploads/2022/01/M-22-09.pdf" TargetMode="External" /><Relationship Type="http://schemas.openxmlformats.org/officeDocument/2006/relationships/hyperlink" Id="rId25" Target="https://www.whitehouse.gov/wp-content/uploads/2026/08/M-26-18-Scaling-Use-of-Login.gov-to-Deliver-a-Universal-Sign-on-for-Public-Services.pdf" TargetMode="External" /><Relationship Type="http://schemas.openxmlformats.org/officeDocument/2006/relationships/hyperlink" Id="rId3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29" Target="https://kston83.github.io/nist-guide/templates/forms/physical-access-list/" TargetMode="External" /><Relationship Type="http://schemas.openxmlformats.org/officeDocument/2006/relationships/hyperlink" Id="rId30" Target="https://kston83.github.io/nist-guide/templates/forms/visitor-log/" TargetMode="External" /><Relationship Type="http://schemas.openxmlformats.org/officeDocument/2006/relationships/hyperlink" Id="rId9" Target="https://kston83.github.io/nist-guide/templates/policies/ma/" TargetMode="External" /><Relationship Type="http://schemas.openxmlformats.org/officeDocument/2006/relationships/hyperlink" Id="rId31" Target="https://kston83.github.io/nist-guide/templates/policies/ps/" TargetMode="External" /><Relationship Type="http://schemas.openxmlformats.org/officeDocument/2006/relationships/hyperlink" Id="rId34" Target="https://uscode.house.gov/view.xhtml?req=granuleid:USC-prelim-title44-section3554&amp;num=0&amp;edition=prelim" TargetMode="External" /><Relationship Type="http://schemas.openxmlformats.org/officeDocument/2006/relationships/hyperlink" Id="rId26" Target="https://www.cisa.gov/news-events/directives/binding-operational-directive-23-02" TargetMode="External" /><Relationship Type="http://schemas.openxmlformats.org/officeDocument/2006/relationships/hyperlink" Id="rId24" Target="https://www.whitehouse.gov/wp-content/uploads/2019/05/M-19-17.pdf" TargetMode="External" /><Relationship Type="http://schemas.openxmlformats.org/officeDocument/2006/relationships/hyperlink" Id="rId23" Target="https://www.whitehouse.gov/wp-content/uploads/2022/01/M-22-09.pdf" TargetMode="External" /><Relationship Type="http://schemas.openxmlformats.org/officeDocument/2006/relationships/hyperlink" Id="rId25" Target="https://www.whitehouse.gov/wp-content/uploads/2026/08/M-26-18-Scaling-Use-of-Login.gov-to-Deliver-a-Universal-Sign-on-for-Public-Services.pdf" TargetMode="External" /><Relationship Type="http://schemas.openxmlformats.org/officeDocument/2006/relationships/hyperlink" Id="rId3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