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2" w:name="maintenance-policy"/>
    <w:p>
      <w:pPr>
        <w:pStyle w:val="Heading1"/>
      </w:pPr>
      <w:r>
        <w:t xml:space="preserve">Maintenance Policy</w:t>
      </w:r>
    </w:p>
    <w:p>
      <w:pPr>
        <w:pStyle w:val="FirstParagraph"/>
      </w:pPr>
      <w:r>
        <w:rPr>
          <w:b/>
          <w:bCs/>
        </w:rPr>
        <w:t xml:space="preserve">Template version:</w:t>
      </w:r>
      <w:r>
        <w:t xml:space="preserve"> </w:t>
      </w:r>
      <w:r>
        <w:t xml:space="preserve">1.0.0 ·</w:t>
      </w:r>
      <w:r>
        <w:t xml:space="preserve"> </w:t>
      </w:r>
      <w:r>
        <w:rPr>
          <w:b/>
          <w:bCs/>
        </w:rPr>
        <w:t xml:space="preserve">Baseline:</w:t>
      </w:r>
      <w:r>
        <w:t xml:space="preserve"> </w:t>
      </w:r>
      <w:r>
        <w:t xml:space="preserve">Low ·</w:t>
      </w:r>
      <w:r>
        <w:t xml:space="preserve"> </w:t>
      </w:r>
      <w:r>
        <w:rPr>
          <w:b/>
          <w:bCs/>
        </w:rPr>
        <w:t xml:space="preserve">Edition:</w:t>
      </w:r>
      <w:r>
        <w:t xml:space="preserve"> </w:t>
      </w:r>
      <w:r>
        <w:t xml:space="preserve">Ready to adopt ·</w:t>
      </w:r>
      <w:r>
        <w:t xml:space="preserve"> </w:t>
      </w:r>
      <w:r>
        <w:rPr>
          <w:b/>
          <w:bCs/>
        </w:rPr>
        <w:t xml:space="preserve">NIST basis:</w:t>
      </w:r>
      <w:r>
        <w:t xml:space="preserve"> </w:t>
      </w:r>
      <w:r>
        <w:t xml:space="preserve">SP 800-53 Rev. 5, release 5.2.0</w:t>
      </w:r>
    </w:p>
    <w:p>
      <w:pPr>
        <w:pStyle w:val="BodyText"/>
      </w:pPr>
      <w:r>
        <w:rPr>
          <w:i/>
          <w:iCs/>
        </w:rPr>
        <w:t xml:space="preserve">Tailor this template before adoption; it is not legal advice.</w:t>
      </w:r>
      <w:r>
        <w:t xml:space="preserve"> </w:t>
      </w:r>
      <w:r>
        <w:t xml:space="preserve">Latest version:</w:t>
      </w:r>
      <w:r>
        <w:t xml:space="preserve"> </w:t>
      </w:r>
      <w:hyperlink r:id="rId9">
        <w:r>
          <w:rPr>
            <w:rStyle w:val="Hyperlink"/>
          </w:rPr>
          <w:t xml:space="preserve">https://kston83.github.io/nist-guide/templates/policies/ma/</w:t>
        </w:r>
      </w:hyperlink>
      <w:r>
        <w:t xml:space="preserve">. Dedicated to the public domain under CC0 1.0 (</w:t>
      </w:r>
      <w:hyperlink r:id="rId10">
        <w:r>
          <w:rPr>
            <w:rStyle w:val="Hyperlink"/>
          </w:rPr>
          <w:t xml:space="preserve">https://creativecommons.org/publicdomain/zero/1.0/</w:t>
        </w:r>
      </w:hyperlink>
      <w:r>
        <w:t xml:space="preserve">): adopt and change it without attribution.</w:t>
      </w:r>
    </w:p>
    <w:bookmarkStart w:id="11" w:name="purpose"/>
    <w:p>
      <w:pPr>
        <w:pStyle w:val="Heading2"/>
      </w:pPr>
      <w:r>
        <w:t xml:space="preserve">Purpose</w:t>
      </w:r>
    </w:p>
    <w:p>
      <w:pPr>
        <w:pStyle w:val="FirstParagraph"/>
      </w:pPr>
      <w:r>
        <w:t xml:space="preserve">This policy states what</w:t>
      </w:r>
      <w:r>
        <w:t xml:space="preserve"> </w:t>
      </w:r>
      <w:r>
        <w:rPr>
          <w:rStyle w:val="Fill-in"/>
        </w:rPr>
        <w:t xml:space="preserve">[Organization name]</w:t>
      </w:r>
      <w:r>
        <w:t xml:space="preserve"> </w:t>
      </w:r>
      <w:r>
        <w:t xml:space="preserve">requires for Maintenance, and who is accountable for meeting those requirements. (MA-1a.1(a))</w:t>
      </w:r>
    </w:p>
    <w:bookmarkEnd w:id="11"/>
    <w:bookmarkStart w:id="12" w:name="scope"/>
    <w:p>
      <w:pPr>
        <w:pStyle w:val="Heading2"/>
      </w:pPr>
      <w:r>
        <w:t xml:space="preserve">Scope</w:t>
      </w:r>
    </w:p>
    <w:p>
      <w:pPr>
        <w:pStyle w:val="FirstParagraph"/>
      </w:pPr>
      <w:r>
        <w:t xml:space="preserve">This policy applies at the</w:t>
      </w:r>
      <w:r>
        <w:t xml:space="preserve"> </w:t>
      </w:r>
      <w:r>
        <w:rPr>
          <w:rStyle w:val="Fill-in"/>
        </w:rPr>
        <w:t xml:space="preserve">[Select one or more: organization-level; mission/business process-level; system-level. Typical: organization-level]</w:t>
      </w:r>
      <w:r>
        <w:t xml:space="preserve"> </w:t>
      </w:r>
      <w:r>
        <w:t xml:space="preserve">to every system that</w:t>
      </w:r>
      <w:r>
        <w:t xml:space="preserve"> </w:t>
      </w:r>
      <w:r>
        <w:rPr>
          <w:rStyle w:val="Fill-in"/>
        </w:rPr>
        <w:t xml:space="preserve">[Organization name]</w:t>
      </w:r>
      <w:r>
        <w:t xml:space="preserve"> </w:t>
      </w:r>
      <w:r>
        <w:t xml:space="preserve">owns or operates, or that is operated on its behalf, and to every person with access to those systems, including employees, contractors and partners. (MA-1a.1(a))</w:t>
      </w:r>
    </w:p>
    <w:bookmarkEnd w:id="12"/>
    <w:bookmarkStart w:id="13" w:name="roles-and-responsibilities"/>
    <w:p>
      <w:pPr>
        <w:pStyle w:val="Heading2"/>
      </w:pPr>
      <w:r>
        <w:t xml:space="preserve">Roles and responsibilities</w:t>
      </w:r>
    </w:p>
    <w:p>
      <w:pPr>
        <w:pStyle w:val="Compact"/>
        <w:numPr>
          <w:ilvl w:val="0"/>
          <w:numId w:val="1001"/>
        </w:numPr>
      </w:pPr>
      <w:r>
        <w:t xml:space="preserve">The</w:t>
      </w:r>
      <w:r>
        <w:t xml:space="preserve"> </w:t>
      </w:r>
      <w:r>
        <w:rPr>
          <w:rStyle w:val="Fill-in"/>
        </w:rPr>
        <w:t xml:space="preserve">[Chief Information Security Officer]</w:t>
      </w:r>
      <w:r>
        <w:t xml:space="preserve"> </w:t>
      </w:r>
      <w:r>
        <w:t xml:space="preserve">is accountable for this policy and shall approve exceptions to it. (MA-1a.1(a))</w:t>
      </w:r>
    </w:p>
    <w:p>
      <w:pPr>
        <w:pStyle w:val="Compact"/>
        <w:numPr>
          <w:ilvl w:val="0"/>
          <w:numId w:val="1001"/>
        </w:numPr>
      </w:pPr>
      <w:r>
        <w:t xml:space="preserve">The</w:t>
      </w:r>
      <w:r>
        <w:t xml:space="preserve"> </w:t>
      </w:r>
      <w:r>
        <w:rPr>
          <w:rStyle w:val="Fill-in"/>
        </w:rPr>
        <w:t xml:space="preserve">[Fill in: an official to manage the maintenance policy and procedures. Typical: Chief Information Security Officer]</w:t>
      </w:r>
      <w:r>
        <w:t xml:space="preserve"> </w:t>
      </w:r>
      <w:r>
        <w:t xml:space="preserve">shall manage the development, documentation and dissemination of this policy and its procedures. (MA-1b)</w:t>
      </w:r>
    </w:p>
    <w:p>
      <w:pPr>
        <w:pStyle w:val="Compact"/>
        <w:numPr>
          <w:ilvl w:val="0"/>
          <w:numId w:val="1001"/>
        </w:numPr>
      </w:pPr>
      <w:r>
        <w:t xml:space="preserve">Each</w:t>
      </w:r>
      <w:r>
        <w:t xml:space="preserve"> </w:t>
      </w:r>
      <w:r>
        <w:rPr>
          <w:rStyle w:val="Fill-in"/>
        </w:rPr>
        <w:t xml:space="preserve">[System owner]</w:t>
      </w:r>
      <w:r>
        <w:t xml:space="preserve"> </w:t>
      </w:r>
      <w:r>
        <w:t xml:space="preserve">shall implement this policy for their system and document how in the system security plan. (MA-1a.1(a))</w:t>
      </w:r>
    </w:p>
    <w:p>
      <w:pPr>
        <w:pStyle w:val="Compact"/>
        <w:numPr>
          <w:ilvl w:val="0"/>
          <w:numId w:val="1001"/>
        </w:numPr>
      </w:pPr>
      <w:r>
        <w:t xml:space="preserve">Each person within scope shall follow this policy and report suspected violations to the</w:t>
      </w:r>
      <w:r>
        <w:t xml:space="preserve"> </w:t>
      </w:r>
      <w:r>
        <w:rPr>
          <w:rStyle w:val="Fill-in"/>
        </w:rPr>
        <w:t xml:space="preserve">[Chief Information Security Officer]</w:t>
      </w:r>
      <w:r>
        <w:t xml:space="preserve">. (MA-1a.1(a))</w:t>
      </w:r>
    </w:p>
    <w:bookmarkEnd w:id="13"/>
    <w:bookmarkStart w:id="14" w:name="management-commitment"/>
    <w:p>
      <w:pPr>
        <w:pStyle w:val="Heading2"/>
      </w:pPr>
      <w:r>
        <w:t xml:space="preserve">Management commitment</w:t>
      </w:r>
    </w:p>
    <w:p>
      <w:pPr>
        <w:pStyle w:val="FirstParagraph"/>
      </w:pPr>
      <w:r>
        <w:t xml:space="preserve">The</w:t>
      </w:r>
      <w:r>
        <w:t xml:space="preserve"> </w:t>
      </w:r>
      <w:r>
        <w:rPr>
          <w:rStyle w:val="Fill-in"/>
        </w:rPr>
        <w:t xml:space="preserve">[Senior leader]</w:t>
      </w:r>
      <w:r>
        <w:t xml:space="preserve"> </w:t>
      </w:r>
      <w:r>
        <w:t xml:space="preserve">approves this policy and shall provide the resources needed to implement it. (MA-1a.1(a))</w:t>
      </w:r>
    </w:p>
    <w:bookmarkEnd w:id="14"/>
    <w:bookmarkStart w:id="15" w:name="coordination"/>
    <w:p>
      <w:pPr>
        <w:pStyle w:val="Heading2"/>
      </w:pPr>
      <w:r>
        <w:t xml:space="preserve">Coordination</w:t>
      </w:r>
    </w:p>
    <w:p>
      <w:pPr>
        <w:pStyle w:val="FirstParagraph"/>
      </w:pPr>
      <w:r>
        <w:t xml:space="preserve">The</w:t>
      </w:r>
      <w:r>
        <w:t xml:space="preserve"> </w:t>
      </w:r>
      <w:r>
        <w:rPr>
          <w:rStyle w:val="Fill-in"/>
        </w:rPr>
        <w:t xml:space="preserve">[Chief Information Security Officer]</w:t>
      </w:r>
      <w:r>
        <w:t xml:space="preserve"> </w:t>
      </w:r>
      <w:r>
        <w:t xml:space="preserve">shall coordinate this policy with the legal, privacy, human resources and procurement functions, and with the owners of related policies, before each approval. (MA-1a.1(a))</w:t>
      </w:r>
    </w:p>
    <w:bookmarkEnd w:id="15"/>
    <w:bookmarkStart w:id="16" w:name="compliance"/>
    <w:p>
      <w:pPr>
        <w:pStyle w:val="Heading2"/>
      </w:pPr>
      <w:r>
        <w:t xml:space="preserve">Compliance</w:t>
      </w:r>
    </w:p>
    <w:p>
      <w:pPr>
        <w:pStyle w:val="Compact"/>
        <w:numPr>
          <w:ilvl w:val="0"/>
          <w:numId w:val="1002"/>
        </w:numPr>
      </w:pPr>
      <w:r>
        <w:t xml:space="preserve">This policy shall be consistent with the laws, executive orders, directives, regulations, policies, standards and guidelines that apply to</w:t>
      </w:r>
      <w:r>
        <w:t xml:space="preserve"> </w:t>
      </w:r>
      <w:r>
        <w:rPr>
          <w:rStyle w:val="Fill-in"/>
        </w:rPr>
        <w:t xml:space="preserve">[Organization name]</w:t>
      </w:r>
      <w:r>
        <w:t xml:space="preserve">, including</w:t>
      </w:r>
      <w:r>
        <w:t xml:space="preserve"> </w:t>
      </w:r>
      <w:r>
        <w:rPr>
          <w:rStyle w:val="Fill-in"/>
        </w:rPr>
        <w:t xml:space="preserve">[Fill in: laws, regulations and standards that apply to the organization]</w:t>
      </w:r>
      <w:r>
        <w:t xml:space="preserve">. (MA-1a.1(b))</w:t>
      </w:r>
    </w:p>
    <w:p>
      <w:pPr>
        <w:pStyle w:val="Compact"/>
        <w:numPr>
          <w:ilvl w:val="0"/>
          <w:numId w:val="1002"/>
        </w:numPr>
      </w:pPr>
      <w:r>
        <w:t xml:space="preserve">The</w:t>
      </w:r>
      <w:r>
        <w:t xml:space="preserve"> </w:t>
      </w:r>
      <w:r>
        <w:rPr>
          <w:rStyle w:val="Fill-in"/>
        </w:rPr>
        <w:t xml:space="preserve">[Chief Information Security Officer]</w:t>
      </w:r>
      <w:r>
        <w:t xml:space="preserve"> </w:t>
      </w:r>
      <w:r>
        <w:t xml:space="preserve">shall review compliance with this policy through the organization’s assessment and continuous monitoring activities. (MA-1a.1(a))</w:t>
      </w:r>
    </w:p>
    <w:p>
      <w:pPr>
        <w:pStyle w:val="Compact"/>
        <w:numPr>
          <w:ilvl w:val="0"/>
          <w:numId w:val="1002"/>
        </w:numPr>
      </w:pPr>
      <w:r>
        <w:t xml:space="preserve">An exception to this policy shall be requested in writing, approved by the</w:t>
      </w:r>
      <w:r>
        <w:t xml:space="preserve"> </w:t>
      </w:r>
      <w:r>
        <w:rPr>
          <w:rStyle w:val="Fill-in"/>
        </w:rPr>
        <w:t xml:space="preserve">[Chief Information Security Officer]</w:t>
      </w:r>
      <w:r>
        <w:t xml:space="preserve">, time-limited and recorded with its compensating measures. (MA-1a.1(a))</w:t>
      </w:r>
    </w:p>
    <w:p>
      <w:pPr>
        <w:pStyle w:val="Compact"/>
        <w:numPr>
          <w:ilvl w:val="0"/>
          <w:numId w:val="1002"/>
        </w:numPr>
      </w:pPr>
      <w:r>
        <w:t xml:space="preserve">Violations of this policy shall be handled through the organization’s sanctions process. (MA-1a.1(a))</w:t>
      </w:r>
    </w:p>
    <w:bookmarkEnd w:id="16"/>
    <w:bookmarkStart w:id="17" w:name="procedures"/>
    <w:p>
      <w:pPr>
        <w:pStyle w:val="Heading2"/>
      </w:pPr>
      <w:r>
        <w:t xml:space="preserve">Procedures</w:t>
      </w:r>
    </w:p>
    <w:p>
      <w:pPr>
        <w:pStyle w:val="FirstParagraph"/>
      </w:pPr>
      <w:r>
        <w:t xml:space="preserve">The</w:t>
      </w:r>
      <w:r>
        <w:t xml:space="preserve"> </w:t>
      </w:r>
      <w:r>
        <w:rPr>
          <w:rStyle w:val="Fill-in"/>
        </w:rPr>
        <w:t xml:space="preserve">[Fill in: an official to manage the maintenance policy and procedures. Typical: Chief Information Security Officer]</w:t>
      </w:r>
      <w:r>
        <w:t xml:space="preserve"> </w:t>
      </w:r>
      <w:r>
        <w:t xml:space="preserve">shall ensure that documented procedures exist to implement this policy and its associated controls. (MA-1a.2)</w:t>
      </w:r>
    </w:p>
    <w:bookmarkEnd w:id="17"/>
    <w:bookmarkStart w:id="18" w:name="dissemination"/>
    <w:p>
      <w:pPr>
        <w:pStyle w:val="Heading2"/>
      </w:pPr>
      <w:r>
        <w:t xml:space="preserve">Dissemination</w:t>
      </w:r>
    </w:p>
    <w:p>
      <w:pPr>
        <w:pStyle w:val="Compact"/>
        <w:numPr>
          <w:ilvl w:val="0"/>
          <w:numId w:val="1003"/>
        </w:numPr>
      </w:pPr>
      <w:r>
        <w:t xml:space="preserve">The</w:t>
      </w:r>
      <w:r>
        <w:t xml:space="preserve"> </w:t>
      </w:r>
      <w:r>
        <w:rPr>
          <w:rStyle w:val="Fill-in"/>
        </w:rPr>
        <w:t xml:space="preserve">[Fill in: an official to manage the maintenance policy and procedures. Typical: Chief Information Security Officer]</w:t>
      </w:r>
      <w:r>
        <w:t xml:space="preserve"> </w:t>
      </w:r>
      <w:r>
        <w:t xml:space="preserve">shall disseminate this policy to</w:t>
      </w:r>
      <w:r>
        <w:t xml:space="preserve"> </w:t>
      </w:r>
      <w:r>
        <w:rPr>
          <w:rStyle w:val="Fill-in"/>
        </w:rPr>
        <w:t xml:space="preserve">[Fill in: personnel or roles to whom the maintenance policy is to be disseminated. Typical: everyone within its scope, through the policy library]</w:t>
      </w:r>
      <w:r>
        <w:t xml:space="preserve">. (MA-1a)</w:t>
      </w:r>
    </w:p>
    <w:p>
      <w:pPr>
        <w:pStyle w:val="Compact"/>
        <w:numPr>
          <w:ilvl w:val="0"/>
          <w:numId w:val="1003"/>
        </w:numPr>
      </w:pPr>
      <w:r>
        <w:t xml:space="preserve">The</w:t>
      </w:r>
      <w:r>
        <w:t xml:space="preserve"> </w:t>
      </w:r>
      <w:r>
        <w:rPr>
          <w:rStyle w:val="Fill-in"/>
        </w:rPr>
        <w:t xml:space="preserve">[Fill in: an official to manage the maintenance policy and procedures. Typical: Chief Information Security Officer]</w:t>
      </w:r>
      <w:r>
        <w:t xml:space="preserve"> </w:t>
      </w:r>
      <w:r>
        <w:t xml:space="preserve">shall disseminate the procedures that implement this policy to</w:t>
      </w:r>
      <w:r>
        <w:t xml:space="preserve"> </w:t>
      </w:r>
      <w:r>
        <w:rPr>
          <w:rStyle w:val="Fill-in"/>
        </w:rPr>
        <w:t xml:space="preserve">[Fill in: personnel or roles to whom the maintenance procedures are to be disseminated. Typical: the people who carry them out, and the system owners]</w:t>
      </w:r>
      <w:r>
        <w:t xml:space="preserve">. (MA-1a)</w:t>
      </w:r>
    </w:p>
    <w:bookmarkEnd w:id="18"/>
    <w:bookmarkStart w:id="27" w:name="policy-statements"/>
    <w:p>
      <w:pPr>
        <w:pStyle w:val="Heading2"/>
      </w:pPr>
      <w:r>
        <w:t xml:space="preserve">Policy statements</w:t>
      </w:r>
    </w:p>
    <w:bookmarkStart w:id="19" w:name="controlled-maintenance-ma-2"/>
    <w:p>
      <w:pPr>
        <w:pStyle w:val="Heading3"/>
      </w:pPr>
      <w:r>
        <w:t xml:space="preserve">Controlled maintenance (MA-2)</w:t>
      </w:r>
    </w:p>
    <w:p>
      <w:pPr>
        <w:pStyle w:val="Compact"/>
        <w:numPr>
          <w:ilvl w:val="0"/>
          <w:numId w:val="1004"/>
        </w:numPr>
      </w:pPr>
      <w:r>
        <w:t xml:space="preserve">The</w:t>
      </w:r>
      <w:r>
        <w:t xml:space="preserve"> </w:t>
      </w:r>
      <w:r>
        <w:rPr>
          <w:rStyle w:val="Fill-in"/>
        </w:rPr>
        <w:t xml:space="preserve">[System owner]</w:t>
      </w:r>
      <w:r>
        <w:t xml:space="preserve"> </w:t>
      </w:r>
      <w:r>
        <w:t xml:space="preserve">shall schedule maintenance, repair and replacement of system components in accordance with manufacturer or vendor specifications and organizational requirements. (MA-2a)</w:t>
      </w:r>
    </w:p>
    <w:p>
      <w:pPr>
        <w:pStyle w:val="Compact"/>
        <w:numPr>
          <w:ilvl w:val="0"/>
          <w:numId w:val="1004"/>
        </w:numPr>
      </w:pPr>
      <w:r>
        <w:t xml:space="preserve">The</w:t>
      </w:r>
      <w:r>
        <w:t xml:space="preserve"> </w:t>
      </w:r>
      <w:r>
        <w:rPr>
          <w:rStyle w:val="Fill-in"/>
        </w:rPr>
        <w:t xml:space="preserve">[System owner]</w:t>
      </w:r>
      <w:r>
        <w:t xml:space="preserve"> </w:t>
      </w:r>
      <w:r>
        <w:t xml:space="preserve">shall document each maintenance, repair and replacement activity in the system’s maintenance records. (MA-2a)</w:t>
      </w:r>
    </w:p>
    <w:p>
      <w:pPr>
        <w:pStyle w:val="Compact"/>
        <w:numPr>
          <w:ilvl w:val="0"/>
          <w:numId w:val="1004"/>
        </w:numPr>
      </w:pPr>
      <w:r>
        <w:t xml:space="preserve">The</w:t>
      </w:r>
      <w:r>
        <w:t xml:space="preserve"> </w:t>
      </w:r>
      <w:r>
        <w:rPr>
          <w:rStyle w:val="Fill-in"/>
        </w:rPr>
        <w:t xml:space="preserve">[System owner]</w:t>
      </w:r>
      <w:r>
        <w:t xml:space="preserve"> </w:t>
      </w:r>
      <w:r>
        <w:t xml:space="preserve">shall review the maintenance records at least quarterly against the maintenance schedule and the system’s change records. (MA-2a)</w:t>
      </w:r>
    </w:p>
    <w:p>
      <w:pPr>
        <w:pStyle w:val="Compact"/>
        <w:numPr>
          <w:ilvl w:val="0"/>
          <w:numId w:val="1004"/>
        </w:numPr>
      </w:pPr>
      <w:r>
        <w:t xml:space="preserve">The</w:t>
      </w:r>
      <w:r>
        <w:t xml:space="preserve"> </w:t>
      </w:r>
      <w:r>
        <w:rPr>
          <w:rStyle w:val="Fill-in"/>
        </w:rPr>
        <w:t xml:space="preserve">[System owner]</w:t>
      </w:r>
      <w:r>
        <w:t xml:space="preserve"> </w:t>
      </w:r>
      <w:r>
        <w:t xml:space="preserve">shall approve each maintenance activity before it starts, whether it is performed on site or remotely and whether components are serviced on site or removed to another location. (MA-2b)</w:t>
      </w:r>
    </w:p>
    <w:p>
      <w:pPr>
        <w:pStyle w:val="Compact"/>
        <w:numPr>
          <w:ilvl w:val="0"/>
          <w:numId w:val="1004"/>
        </w:numPr>
      </w:pPr>
      <w:r>
        <w:t xml:space="preserve">The</w:t>
      </w:r>
      <w:r>
        <w:t xml:space="preserve"> </w:t>
      </w:r>
      <w:r>
        <w:rPr>
          <w:rStyle w:val="Fill-in"/>
        </w:rPr>
        <w:t xml:space="preserve">[System owner]</w:t>
      </w:r>
      <w:r>
        <w:t xml:space="preserve"> </w:t>
      </w:r>
      <w:r>
        <w:t xml:space="preserve">shall ensure each maintenance activity is monitored while it is performed, by an escort or by review of the session and its records. (MA-2b)</w:t>
      </w:r>
    </w:p>
    <w:p>
      <w:pPr>
        <w:pStyle w:val="Compact"/>
        <w:numPr>
          <w:ilvl w:val="0"/>
          <w:numId w:val="1004"/>
        </w:numPr>
      </w:pPr>
      <w:r>
        <w:t xml:space="preserve">Maintenance that changes the system’s configuration shall also follow the change control process (CM-3). (MA-2b)</w:t>
      </w:r>
    </w:p>
    <w:p>
      <w:pPr>
        <w:pStyle w:val="Compact"/>
        <w:numPr>
          <w:ilvl w:val="0"/>
          <w:numId w:val="1004"/>
        </w:numPr>
      </w:pPr>
      <w:r>
        <w:t xml:space="preserve">The</w:t>
      </w:r>
      <w:r>
        <w:t xml:space="preserve"> </w:t>
      </w:r>
      <w:r>
        <w:rPr>
          <w:rStyle w:val="Fill-in"/>
        </w:rPr>
        <w:t xml:space="preserve">[System owner]</w:t>
      </w:r>
      <w:r>
        <w:t xml:space="preserve"> </w:t>
      </w:r>
      <w:r>
        <w:t xml:space="preserve">shall require</w:t>
      </w:r>
      <w:r>
        <w:t xml:space="preserve"> </w:t>
      </w:r>
      <w:r>
        <w:rPr>
          <w:rStyle w:val="Fill-in"/>
        </w:rPr>
        <w:t xml:space="preserve">[Fill in: personnel or roles required to explicitly approve the removal of the system or system components from organizational facilities for off-site maintenance or repairs. Typical: the system owner]</w:t>
      </w:r>
      <w:r>
        <w:t xml:space="preserve"> </w:t>
      </w:r>
      <w:r>
        <w:t xml:space="preserve">to explicitly approve the removal of the system or system components from organizational facilities for off-site maintenance, repair or replacement. (MA-2c)</w:t>
      </w:r>
    </w:p>
    <w:p>
      <w:pPr>
        <w:pStyle w:val="Compact"/>
        <w:numPr>
          <w:ilvl w:val="0"/>
          <w:numId w:val="1004"/>
        </w:numPr>
      </w:pPr>
      <w:r>
        <w:t xml:space="preserve">The</w:t>
      </w:r>
      <w:r>
        <w:t xml:space="preserve"> </w:t>
      </w:r>
      <w:r>
        <w:rPr>
          <w:rStyle w:val="Fill-in"/>
        </w:rPr>
        <w:t xml:space="preserve">[System owner]</w:t>
      </w:r>
      <w:r>
        <w:t xml:space="preserve"> </w:t>
      </w:r>
      <w:r>
        <w:t xml:space="preserve">shall ensure equipment is sanitized to remove</w:t>
      </w:r>
      <w:r>
        <w:t xml:space="preserve"> </w:t>
      </w:r>
      <w:r>
        <w:rPr>
          <w:rStyle w:val="Fill-in"/>
        </w:rPr>
        <w:t xml:space="preserve">[Fill in: information to be removed from associated media prior to removal from organizational facilities for off-site maintenance, repair, or replacement. Typical: all organizational information, including personally identifiable information, credentials and cryptographic keys]</w:t>
      </w:r>
      <w:r>
        <w:t xml:space="preserve"> </w:t>
      </w:r>
      <w:r>
        <w:t xml:space="preserve">from associated media before it is removed from organizational facilities for off-site maintenance, repair or replacement. (MA-2d)</w:t>
      </w:r>
    </w:p>
    <w:p>
      <w:pPr>
        <w:pStyle w:val="Compact"/>
        <w:numPr>
          <w:ilvl w:val="0"/>
          <w:numId w:val="1004"/>
        </w:numPr>
      </w:pPr>
      <w:r>
        <w:t xml:space="preserve">Where storage media cannot be sanitized, such as a failed drive, the</w:t>
      </w:r>
      <w:r>
        <w:t xml:space="preserve"> </w:t>
      </w:r>
      <w:r>
        <w:rPr>
          <w:rStyle w:val="Fill-in"/>
        </w:rPr>
        <w:t xml:space="preserve">[System owner]</w:t>
      </w:r>
      <w:r>
        <w:t xml:space="preserve"> </w:t>
      </w:r>
      <w:r>
        <w:t xml:space="preserve">shall keep the media within the organization and sanitize or destroy them there, rather than release them. (MA-2d)</w:t>
      </w:r>
    </w:p>
    <w:p>
      <w:pPr>
        <w:pStyle w:val="Compact"/>
        <w:numPr>
          <w:ilvl w:val="0"/>
          <w:numId w:val="1004"/>
        </w:numPr>
      </w:pPr>
      <w:r>
        <w:t xml:space="preserve">After each maintenance, repair or replacement action, the</w:t>
      </w:r>
      <w:r>
        <w:t xml:space="preserve"> </w:t>
      </w:r>
      <w:r>
        <w:rPr>
          <w:rStyle w:val="Fill-in"/>
        </w:rPr>
        <w:t xml:space="preserve">[System owner]</w:t>
      </w:r>
      <w:r>
        <w:t xml:space="preserve"> </w:t>
      </w:r>
      <w:r>
        <w:t xml:space="preserve">shall check all potentially impacted controls to verify that they are still functioning properly. (MA-2e)</w:t>
      </w:r>
    </w:p>
    <w:p>
      <w:pPr>
        <w:pStyle w:val="Compact"/>
        <w:numPr>
          <w:ilvl w:val="0"/>
          <w:numId w:val="1004"/>
        </w:numPr>
      </w:pPr>
      <w:r>
        <w:t xml:space="preserve">The</w:t>
      </w:r>
      <w:r>
        <w:t xml:space="preserve"> </w:t>
      </w:r>
      <w:r>
        <w:rPr>
          <w:rStyle w:val="Fill-in"/>
        </w:rPr>
        <w:t xml:space="preserve">[System owner]</w:t>
      </w:r>
      <w:r>
        <w:t xml:space="preserve"> </w:t>
      </w:r>
      <w:r>
        <w:t xml:space="preserve">shall include</w:t>
      </w:r>
      <w:r>
        <w:t xml:space="preserve"> </w:t>
      </w:r>
      <w:r>
        <w:rPr>
          <w:rStyle w:val="Fill-in"/>
        </w:rPr>
        <w:t xml:space="preserve">[Fill in: information to be included in organizational maintenance records. Typical: the date and time, the system and component, a description of the maintenance performed, the names and organization of the individuals performing it, the escort’s name, the components or equipment removed or replaced, the approval, and the result of the post-maintenance control check]</w:t>
      </w:r>
      <w:r>
        <w:t xml:space="preserve"> </w:t>
      </w:r>
      <w:r>
        <w:t xml:space="preserve">in the organization’s maintenance records. (MA-2f)</w:t>
      </w:r>
    </w:p>
    <w:bookmarkEnd w:id="19"/>
    <w:bookmarkStart w:id="25" w:name="nonlocal-maintenance-ma-4"/>
    <w:p>
      <w:pPr>
        <w:pStyle w:val="Heading3"/>
      </w:pPr>
      <w:r>
        <w:t xml:space="preserve">Nonlocal maintenance (MA-4)</w:t>
      </w:r>
    </w:p>
    <w:p>
      <w:pPr>
        <w:pStyle w:val="Compact"/>
        <w:numPr>
          <w:ilvl w:val="0"/>
          <w:numId w:val="1005"/>
        </w:numPr>
      </w:pPr>
      <w:r>
        <w:t xml:space="preserve">The</w:t>
      </w:r>
      <w:r>
        <w:t xml:space="preserve"> </w:t>
      </w:r>
      <w:r>
        <w:rPr>
          <w:rStyle w:val="Fill-in"/>
        </w:rPr>
        <w:t xml:space="preserve">[System owner]</w:t>
      </w:r>
      <w:r>
        <w:t xml:space="preserve"> </w:t>
      </w:r>
      <w:r>
        <w:t xml:space="preserve">shall approve each nonlocal maintenance and diagnostic session before it starts. (MA-4a)</w:t>
      </w:r>
    </w:p>
    <w:p>
      <w:pPr>
        <w:pStyle w:val="Compact"/>
        <w:numPr>
          <w:ilvl w:val="0"/>
          <w:numId w:val="1005"/>
        </w:numPr>
      </w:pPr>
      <w:r>
        <w:t xml:space="preserve">The</w:t>
      </w:r>
      <w:r>
        <w:t xml:space="preserve"> </w:t>
      </w:r>
      <w:r>
        <w:rPr>
          <w:rStyle w:val="Fill-in"/>
        </w:rPr>
        <w:t xml:space="preserve">[System owner]</w:t>
      </w:r>
      <w:r>
        <w:t xml:space="preserve"> </w:t>
      </w:r>
      <w:r>
        <w:t xml:space="preserve">shall ensure each nonlocal maintenance and diagnostic session is monitored while it is in progress, through session supervision or live review of its audit records. (MA-4a)</w:t>
      </w:r>
    </w:p>
    <w:p>
      <w:pPr>
        <w:pStyle w:val="Compact"/>
        <w:numPr>
          <w:ilvl w:val="0"/>
          <w:numId w:val="1005"/>
        </w:numPr>
      </w:pPr>
      <w:r>
        <w:t xml:space="preserve">The</w:t>
      </w:r>
      <w:r>
        <w:t xml:space="preserve"> </w:t>
      </w:r>
      <w:r>
        <w:rPr>
          <w:rStyle w:val="Fill-in"/>
        </w:rPr>
        <w:t xml:space="preserve">[System owner]</w:t>
      </w:r>
      <w:r>
        <w:t xml:space="preserve"> </w:t>
      </w:r>
      <w:r>
        <w:t xml:space="preserve">shall allow the use of nonlocal maintenance and diagnostic tools only as this policy permits and as documented in the system security plan, which shall name each tool and the connection it uses. (MA-4b)</w:t>
      </w:r>
    </w:p>
    <w:p>
      <w:pPr>
        <w:pStyle w:val="Compact"/>
        <w:numPr>
          <w:ilvl w:val="0"/>
          <w:numId w:val="1005"/>
        </w:numPr>
      </w:pPr>
      <w:r>
        <w:t xml:space="preserve">Nonlocal maintenance connections shall pass through the organization’s managed remote access service, and not through a tool or connection that the maintenance provider controls on its own. (MA-4b)</w:t>
      </w:r>
    </w:p>
    <w:p>
      <w:pPr>
        <w:pStyle w:val="Compact"/>
        <w:numPr>
          <w:ilvl w:val="0"/>
          <w:numId w:val="1005"/>
        </w:numPr>
      </w:pPr>
      <w:r>
        <w:t xml:space="preserve">The</w:t>
      </w:r>
      <w:r>
        <w:t xml:space="preserve"> </w:t>
      </w:r>
      <w:r>
        <w:rPr>
          <w:rStyle w:val="Fill-in"/>
        </w:rPr>
        <w:t xml:space="preserve">[System owner]</w:t>
      </w:r>
      <w:r>
        <w:t xml:space="preserve"> </w:t>
      </w:r>
      <w:r>
        <w:t xml:space="preserve">shall ensure nonlocal maintenance and diagnostic sessions are established with strong authentication: multi-factor authentication with a replay-resistant authenticator, as required for network access to the system’s accounts (IA-2(1), IA-2(2), IA-2(8)). (MA-4c)</w:t>
      </w:r>
    </w:p>
    <w:p>
      <w:pPr>
        <w:pStyle w:val="Compact"/>
        <w:numPr>
          <w:ilvl w:val="0"/>
          <w:numId w:val="1005"/>
        </w:numPr>
      </w:pPr>
      <w:r>
        <w:t xml:space="preserve">The</w:t>
      </w:r>
      <w:r>
        <w:t xml:space="preserve"> </w:t>
      </w:r>
      <w:r>
        <w:rPr>
          <w:rStyle w:val="Fill-in"/>
        </w:rPr>
        <w:t xml:space="preserve">[Account manager]</w:t>
      </w:r>
      <w:r>
        <w:t xml:space="preserve"> </w:t>
      </w:r>
      <w:r>
        <w:t xml:space="preserve">shall keep each account used by an external maintenance provider disabled except during an approved session. (MA-4c)</w:t>
      </w:r>
    </w:p>
    <w:p>
      <w:pPr>
        <w:pStyle w:val="Compact"/>
        <w:numPr>
          <w:ilvl w:val="0"/>
          <w:numId w:val="1005"/>
        </w:numPr>
      </w:pPr>
      <w:r>
        <w:t xml:space="preserve">The</w:t>
      </w:r>
      <w:r>
        <w:t xml:space="preserve"> </w:t>
      </w:r>
      <w:r>
        <w:rPr>
          <w:rStyle w:val="Fill-in"/>
        </w:rPr>
        <w:t xml:space="preserve">[System owner]</w:t>
      </w:r>
      <w:r>
        <w:t xml:space="preserve"> </w:t>
      </w:r>
      <w:r>
        <w:t xml:space="preserve">shall maintain records of each nonlocal maintenance and diagnostic session, including who performed it, when it started and ended, what was done and who approved it. (MA-4d)</w:t>
      </w:r>
    </w:p>
    <w:p>
      <w:pPr>
        <w:pStyle w:val="Compact"/>
        <w:numPr>
          <w:ilvl w:val="0"/>
          <w:numId w:val="1005"/>
        </w:numPr>
      </w:pPr>
      <w:r>
        <w:t xml:space="preserve">The person performing nonlocal maintenance shall terminate the session and network connections when the maintenance is completed, and the</w:t>
      </w:r>
      <w:r>
        <w:t xml:space="preserve"> </w:t>
      </w:r>
      <w:r>
        <w:rPr>
          <w:rStyle w:val="Fill-in"/>
        </w:rPr>
        <w:t xml:space="preserve">[System owner]</w:t>
      </w:r>
      <w:r>
        <w:t xml:space="preserve"> </w:t>
      </w:r>
      <w:r>
        <w:t xml:space="preserve">shall ensure the system also ends them when the approved session ends. (MA-4e)</w:t>
      </w:r>
    </w:p>
    <w:bookmarkStart w:id="24" w:name="federal-systems"/>
    <w:p>
      <w:pPr>
        <w:pStyle w:val="Heading4"/>
      </w:pPr>
      <w:r>
        <w:t xml:space="preserve">Federal systems</w:t>
      </w:r>
    </w:p>
    <w:p>
      <w:pPr>
        <w:pStyle w:val="FirstParagraph"/>
      </w:pPr>
      <w:hyperlink r:id="rId20">
        <w:r>
          <w:rPr>
            <w:rStyle w:val="Hyperlink"/>
          </w:rPr>
          <w:t xml:space="preserve">OMB M-22-09</w:t>
        </w:r>
      </w:hyperlink>
      <w:r>
        <w:t xml:space="preserve">, Moving the U.S. Government Toward Zero Trust Cybersecurity Principles (January 26, 2022), requires phishing-resistant multi-factor authentication for agency staff, contractors and partners, enforced at the application layer.</w:t>
      </w:r>
      <w:r>
        <w:t xml:space="preserve"> </w:t>
      </w:r>
      <w:hyperlink r:id="rId21">
        <w:r>
          <w:rPr>
            <w:rStyle w:val="Hyperlink"/>
          </w:rPr>
          <w:t xml:space="preserve">OMB M-19-17</w:t>
        </w:r>
      </w:hyperlink>
      <w:r>
        <w:t xml:space="preserve"> </w:t>
      </w:r>
      <w:r>
        <w:t xml:space="preserve">(May 21, 2019), Section III, item 2, requires Personal Identity Verification (PIV) credentials, where applicable in accordance with OPM requirements, as the primary means of identification and authentication to Federal information systems by Federal employees and contractors.</w:t>
      </w:r>
      <w:r>
        <w:t xml:space="preserve"> </w:t>
      </w:r>
      <w:hyperlink r:id="rId22">
        <w:r>
          <w:rPr>
            <w:rStyle w:val="Hyperlink"/>
          </w:rPr>
          <w:t xml:space="preserve">OMB M-26-18</w:t>
        </w:r>
      </w:hyperlink>
      <w:r>
        <w:t xml:space="preserve"> </w:t>
      </w:r>
      <w:r>
        <w:t xml:space="preserve">(August 31, 2026), footnote 5, lists both memoranda as existing OMB policy. CISA</w:t>
      </w:r>
      <w:r>
        <w:t xml:space="preserve"> </w:t>
      </w:r>
      <w:hyperlink r:id="rId23">
        <w:r>
          <w:rPr>
            <w:rStyle w:val="Hyperlink"/>
          </w:rPr>
          <w:t xml:space="preserve">Binding Operational Directive 23-02</w:t>
        </w:r>
      </w:hyperlink>
      <w:r>
        <w:t xml:space="preserve">, Mitigating the Risk from Internet-Exposed Management Interfaces (June 13, 2023), covers the networked management interfaces of routers, switches, firewalls, VPN concentrators, proxies, load balancers and out-of-band server management interfaces that are reachable from the public internet, but not the management portals and APIs of cloud service offerings. Within 14 days of discovering such an interface, or of notice from CISA, agencies must either make it reachable only from an internal enterprise network or put access to it behind a zero trust policy enforcement point separate from the interface. As of September 2026.</w:t>
      </w:r>
    </w:p>
    <w:p>
      <w:pPr>
        <w:pStyle w:val="Compact"/>
        <w:numPr>
          <w:ilvl w:val="0"/>
          <w:numId w:val="1006"/>
        </w:numPr>
      </w:pPr>
      <w:r>
        <w:t xml:space="preserve">The</w:t>
      </w:r>
      <w:r>
        <w:t xml:space="preserve"> </w:t>
      </w:r>
      <w:r>
        <w:rPr>
          <w:rStyle w:val="Fill-in"/>
        </w:rPr>
        <w:t xml:space="preserve">[System owner]</w:t>
      </w:r>
      <w:r>
        <w:t xml:space="preserve"> </w:t>
      </w:r>
      <w:r>
        <w:t xml:space="preserve">shall require phishing-resistant multi-factor authentication for nonlocal maintenance sessions by agency staff, contractors and partners, as OMB M-22-09 requires, using a PIV or derived PIV credential where the person holds one, as OMB M-19-17 requires. (MA-4c)</w:t>
      </w:r>
    </w:p>
    <w:p>
      <w:pPr>
        <w:pStyle w:val="Compact"/>
        <w:numPr>
          <w:ilvl w:val="0"/>
          <w:numId w:val="1006"/>
        </w:numPr>
      </w:pPr>
      <w:r>
        <w:t xml:space="preserve">For each device within the scope of BOD 23-02, the</w:t>
      </w:r>
      <w:r>
        <w:t xml:space="preserve"> </w:t>
      </w:r>
      <w:r>
        <w:rPr>
          <w:rStyle w:val="Fill-in"/>
        </w:rPr>
        <w:t xml:space="preserve">[System owner]</w:t>
      </w:r>
      <w:r>
        <w:t xml:space="preserve"> </w:t>
      </w:r>
      <w:r>
        <w:t xml:space="preserve">shall ensure its management interface is reachable only from an internal enterprise network, or only through a policy enforcement point separate from the interface, and shall correct any exposed interface within 14 days of its discovery or of notice from CISA. (MA-4b)</w:t>
      </w:r>
    </w:p>
    <w:bookmarkEnd w:id="24"/>
    <w:bookmarkEnd w:id="25"/>
    <w:bookmarkStart w:id="26" w:name="maintenance-personnel-ma-5"/>
    <w:p>
      <w:pPr>
        <w:pStyle w:val="Heading3"/>
      </w:pPr>
      <w:r>
        <w:t xml:space="preserve">Maintenance personnel (MA-5)</w:t>
      </w:r>
    </w:p>
    <w:p>
      <w:pPr>
        <w:pStyle w:val="Compact"/>
        <w:numPr>
          <w:ilvl w:val="0"/>
          <w:numId w:val="1007"/>
        </w:numPr>
      </w:pPr>
      <w:r>
        <w:t xml:space="preserve">The</w:t>
      </w:r>
      <w:r>
        <w:t xml:space="preserve"> </w:t>
      </w:r>
      <w:r>
        <w:rPr>
          <w:rStyle w:val="Fill-in"/>
        </w:rPr>
        <w:t xml:space="preserve">[System owner]</w:t>
      </w:r>
      <w:r>
        <w:t xml:space="preserve"> </w:t>
      </w:r>
      <w:r>
        <w:t xml:space="preserve">shall establish a process for authorizing maintenance personnel, in which the system owner approves each maintenance organization and each individual before they perform maintenance. (MA-5a)</w:t>
      </w:r>
    </w:p>
    <w:p>
      <w:pPr>
        <w:pStyle w:val="Compact"/>
        <w:numPr>
          <w:ilvl w:val="0"/>
          <w:numId w:val="1007"/>
        </w:numPr>
      </w:pPr>
      <w:r>
        <w:t xml:space="preserve">The</w:t>
      </w:r>
      <w:r>
        <w:t xml:space="preserve"> </w:t>
      </w:r>
      <w:r>
        <w:rPr>
          <w:rStyle w:val="Fill-in"/>
        </w:rPr>
        <w:t xml:space="preserve">[System owner]</w:t>
      </w:r>
      <w:r>
        <w:t xml:space="preserve"> </w:t>
      </w:r>
      <w:r>
        <w:t xml:space="preserve">shall maintain a list of authorized maintenance organizations and personnel for the system, and review it at least quarterly. (MA-5a)</w:t>
      </w:r>
    </w:p>
    <w:p>
      <w:pPr>
        <w:pStyle w:val="Compact"/>
        <w:numPr>
          <w:ilvl w:val="0"/>
          <w:numId w:val="1007"/>
        </w:numPr>
      </w:pPr>
      <w:r>
        <w:t xml:space="preserve">Maintenance contracts shall require the provider to notify the organization within 24 hours when a person on the authorized list leaves the provider or no longer supports the organization, as for other external personnel (PS-7). (MA-5a)</w:t>
      </w:r>
    </w:p>
    <w:p>
      <w:pPr>
        <w:pStyle w:val="Compact"/>
        <w:numPr>
          <w:ilvl w:val="0"/>
          <w:numId w:val="1007"/>
        </w:numPr>
      </w:pPr>
      <w:r>
        <w:t xml:space="preserve">The</w:t>
      </w:r>
      <w:r>
        <w:t xml:space="preserve"> </w:t>
      </w:r>
      <w:r>
        <w:rPr>
          <w:rStyle w:val="Fill-in"/>
        </w:rPr>
        <w:t xml:space="preserve">[System owner]</w:t>
      </w:r>
      <w:r>
        <w:t xml:space="preserve"> </w:t>
      </w:r>
      <w:r>
        <w:t xml:space="preserve">shall verify that non-escorted personnel performing maintenance on the system possess the required access authorizations before the work starts. (MA-5b)</w:t>
      </w:r>
    </w:p>
    <w:p>
      <w:pPr>
        <w:pStyle w:val="Compact"/>
        <w:numPr>
          <w:ilvl w:val="0"/>
          <w:numId w:val="1007"/>
        </w:numPr>
      </w:pPr>
      <w:r>
        <w:t xml:space="preserve">The</w:t>
      </w:r>
      <w:r>
        <w:t xml:space="preserve"> </w:t>
      </w:r>
      <w:r>
        <w:rPr>
          <w:rStyle w:val="Fill-in"/>
        </w:rPr>
        <w:t xml:space="preserve">[System owner]</w:t>
      </w:r>
      <w:r>
        <w:t xml:space="preserve"> </w:t>
      </w:r>
      <w:r>
        <w:t xml:space="preserve">shall designate organizational personnel with the required access authorizations and technical competence to supervise the maintenance activities of personnel who do not possess the required access authorizations. (MA-5c)</w:t>
      </w:r>
    </w:p>
    <w:p>
      <w:pPr>
        <w:pStyle w:val="Compact"/>
        <w:numPr>
          <w:ilvl w:val="0"/>
          <w:numId w:val="1007"/>
        </w:numPr>
      </w:pPr>
      <w:r>
        <w:t xml:space="preserve">The designated supervisor shall remain with the maintenance personnel, or supervise the session, for the whole activity, and shall be recorded as the escort in the maintenance records. (MA-5c)</w:t>
      </w:r>
    </w:p>
    <w:p>
      <w:pPr>
        <w:pStyle w:val="Compact"/>
        <w:numPr>
          <w:ilvl w:val="0"/>
          <w:numId w:val="1007"/>
        </w:numPr>
      </w:pPr>
      <w:r>
        <w:t xml:space="preserve">Where maintenance personnel not on the authorized list need access with little notice, the</w:t>
      </w:r>
      <w:r>
        <w:t xml:space="preserve"> </w:t>
      </w:r>
      <w:r>
        <w:rPr>
          <w:rStyle w:val="Fill-in"/>
        </w:rPr>
        <w:t xml:space="preserve">[Account manager]</w:t>
      </w:r>
      <w:r>
        <w:t xml:space="preserve"> </w:t>
      </w:r>
      <w:r>
        <w:t xml:space="preserve">shall issue temporary credentials valid for one use or for the approved maintenance period only, and disable them when it ends. (MA-5)</w:t>
      </w:r>
    </w:p>
    <w:bookmarkEnd w:id="26"/>
    <w:bookmarkEnd w:id="27"/>
    <w:bookmarkStart w:id="31" w:name="review-and-update"/>
    <w:p>
      <w:pPr>
        <w:pStyle w:val="Heading2"/>
      </w:pPr>
      <w:r>
        <w:t xml:space="preserve">Review and update</w:t>
      </w:r>
    </w:p>
    <w:p>
      <w:pPr>
        <w:pStyle w:val="Compact"/>
        <w:numPr>
          <w:ilvl w:val="0"/>
          <w:numId w:val="1008"/>
        </w:numPr>
      </w:pPr>
      <w:r>
        <w:t xml:space="preserve">The</w:t>
      </w:r>
      <w:r>
        <w:t xml:space="preserve"> </w:t>
      </w:r>
      <w:r>
        <w:rPr>
          <w:rStyle w:val="Fill-in"/>
        </w:rPr>
        <w:t xml:space="preserve">[Fill in: an official to manage the maintenance policy and procedures. Typical: Chief Information Security Officer]</w:t>
      </w:r>
      <w:r>
        <w:t xml:space="preserve"> </w:t>
      </w:r>
      <w:r>
        <w:t xml:space="preserve">shall review and update this policy</w:t>
      </w:r>
      <w:r>
        <w:t xml:space="preserve"> </w:t>
      </w:r>
      <w:r>
        <w:rPr>
          <w:rStyle w:val="Fill-in"/>
        </w:rPr>
        <w:t xml:space="preserve">[Fill in: the frequency with which the current maintenance policy is reviewed and updated. Typical: annually]</w:t>
      </w:r>
      <w:r>
        <w:t xml:space="preserve"> </w:t>
      </w:r>
      <w:r>
        <w:t xml:space="preserve">and following</w:t>
      </w:r>
      <w:r>
        <w:t xml:space="preserve"> </w:t>
      </w:r>
      <w:r>
        <w:rPr>
          <w:rStyle w:val="Fill-in"/>
        </w:rPr>
        <w:t xml:space="preserve">[Fill in: events that would require the current maintenance policy to be reviewed and updated. Typical: assessment or audit findings, security incidents or breaches, and changes in applicable laws, executive orders, directives, regulations, policies, standards or guidelines]</w:t>
      </w:r>
      <w:r>
        <w:t xml:space="preserve">. (MA-1c.1)</w:t>
      </w:r>
    </w:p>
    <w:p>
      <w:pPr>
        <w:pStyle w:val="Compact"/>
        <w:numPr>
          <w:ilvl w:val="0"/>
          <w:numId w:val="1008"/>
        </w:numPr>
      </w:pPr>
      <w:r>
        <w:t xml:space="preserve">The</w:t>
      </w:r>
      <w:r>
        <w:t xml:space="preserve"> </w:t>
      </w:r>
      <w:r>
        <w:rPr>
          <w:rStyle w:val="Fill-in"/>
        </w:rPr>
        <w:t xml:space="preserve">[Fill in: an official to manage the maintenance policy and procedures. Typical: Chief Information Security Officer]</w:t>
      </w:r>
      <w:r>
        <w:t xml:space="preserve"> </w:t>
      </w:r>
      <w:r>
        <w:t xml:space="preserve">shall review and update the procedures that implement this policy</w:t>
      </w:r>
      <w:r>
        <w:t xml:space="preserve"> </w:t>
      </w:r>
      <w:r>
        <w:rPr>
          <w:rStyle w:val="Fill-in"/>
        </w:rPr>
        <w:t xml:space="preserve">[Fill in: the frequency with which the current maintenance procedures are reviewed and updated. Typical: annually]</w:t>
      </w:r>
      <w:r>
        <w:t xml:space="preserve"> </w:t>
      </w:r>
      <w:r>
        <w:t xml:space="preserve">and following</w:t>
      </w:r>
      <w:r>
        <w:t xml:space="preserve"> </w:t>
      </w:r>
      <w:r>
        <w:rPr>
          <w:rStyle w:val="Fill-in"/>
        </w:rPr>
        <w:t xml:space="preserve">[Fill in: events that would require the maintenance procedures to be reviewed and updated. Typical: the same events as the policy, and changes to the systems, tools or services the procedures describe]</w:t>
      </w:r>
      <w:r>
        <w:t xml:space="preserve">. (MA-1c.2)</w:t>
      </w:r>
    </w:p>
    <w:bookmarkStart w:id="30" w:name="federal-systems-1"/>
    <w:p>
      <w:pPr>
        <w:pStyle w:val="Heading3"/>
      </w:pPr>
      <w:r>
        <w:t xml:space="preserve">Federal systems</w:t>
      </w:r>
    </w:p>
    <w:p>
      <w:pPr>
        <w:pStyle w:val="FirstParagraph"/>
      </w:pPr>
      <w:r>
        <w:t xml:space="preserve">For federal information systems, this policy also carries out the agency’s information security responsibilities under the Federal Information Security Modernization Act of 2014 (</w:t>
      </w:r>
      <w:hyperlink r:id="rId28">
        <w:r>
          <w:rPr>
            <w:rStyle w:val="Hyperlink"/>
          </w:rPr>
          <w:t xml:space="preserve">44 U.S.C. § 3554</w:t>
        </w:r>
      </w:hyperlink>
      <w:r>
        <w:t xml:space="preserve">, Federal agency responsibilities) and</w:t>
      </w:r>
      <w:r>
        <w:t xml:space="preserve"> </w:t>
      </w:r>
      <w:hyperlink r:id="rId29">
        <w:r>
          <w:rPr>
            <w:rStyle w:val="Hyperlink"/>
          </w:rPr>
          <w:t xml:space="preserve">OMB Circular A-130</w:t>
        </w:r>
      </w:hyperlink>
      <w:r>
        <w:t xml:space="preserve">, Appendix I, Responsibilities for Protecting and Managing Federal Information Resources.</w:t>
      </w:r>
    </w:p>
    <w:p>
      <w:pPr>
        <w:pStyle w:val="Compact"/>
        <w:numPr>
          <w:ilvl w:val="0"/>
          <w:numId w:val="1009"/>
        </w:numPr>
      </w:pPr>
      <w:r>
        <w:t xml:space="preserve">Where the agency’s organization-wide policy sets a value for a parameter in this policy, each system shall use that value or a stricter one. (MA-1a.1(b))</w:t>
      </w:r>
    </w:p>
    <w:bookmarkEnd w:id="30"/>
    <w:bookmarkEnd w:id="31"/>
    <w:bookmarkEnd w:id="32"/>
    <w:sectPr>
      <w:headerReference r:id="rIdPres06Header" w:type="default"/>
      <w:footerReference r:id="rIdPres06Footer" w:type="default"/>
      <w:footnotePr>
        <w:numRestart w:val="eachSect"/>
      </w:footnotePr>
      <w:pgSz w:h="15840" w:w="12240"/>
      <w:pgMar w:bottom="1440" w:footer="720" w:gutter="0" w:header="720" w:left="1440" w:right="1440" w:top="14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Pr>
    <w:r>
      <w:t xml:space="preserve">Page </w:t>
    </w:r>
    <w:fldSimple w:instr=" PAGE ">
      <w:r>
        <w:t xml:space="preserve">1</w:t>
      </w:r>
    </w:fldSimple>
    <w:r>
      <w:t xml:space="preserve"> of </w:t>
    </w:r>
    <w:fldSimple w:instr=" NUMPAGES ">
      <w:r>
        <w:t xml:space="preserve">1</w:t>
      </w:r>
    </w:fldSimpl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xmlns:r="http://schemas.openxmlformats.org/officeDocument/2006/relationships">
  <w:p>
    <w:pPr>
      <w:pStyle w:val="Header"/>
    </w:pPr>
    <w:r>
      <w:t xml:space="preserve">Maintenance Policy</w:t>
    </w:r>
    <w:r>
      <w:tab/>
    </w:r>
    <w:r>
      <w:t xml:space="preserve">Version 1.0.0</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Theme="minorEastAsia" w:hAnsi="Calibri"/>
        <w:sz w:val="22"/>
        <w:szCs w:val="22"/>
        <w:lang w:bidi="ar-SA" w:eastAsia="zh-CN" w:val="en-US"/>
      </w:rPr>
    </w:rPrDefault>
    <w:pPrDefault>
      <w:pPr>
        <w:spacing w:after="120" w:line="264" w:lineRule="auto"/>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60" w:before="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pPr>
      <w:spacing w:after="240"/>
      <w:contextualSpacing/>
    </w:pPr>
    <w:rPr>
      <w:rFonts w:ascii="Georgia" w:cs="Georgia" w:eastAsiaTheme="minorEastAsia" w:hAnsi="Georgia"/>
      <w:color w:val="0F5C5A"/>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pPr>
      <w:keepNext/>
      <w:keepLines/>
      <w:spacing w:after="120" w:before="360"/>
      <w:outlineLvl w:val="0"/>
    </w:pPr>
    <w:rPr>
      <w:rFonts w:ascii="Georgia" w:cs="Georgia" w:eastAsiaTheme="minorEastAsia" w:hAnsi="Georgia"/>
      <w:color w:val="0F5C5A"/>
      <w:sz w:val="36"/>
      <w:szCs w:val="36"/>
    </w:rPr>
  </w:style>
  <w:style w:styleId="Heading2" w:type="paragraph">
    <w:name w:val="heading 2"/>
    <w:basedOn w:val="Normal"/>
    <w:next w:val="BodyText"/>
    <w:link w:val="Heading2Char"/>
    <w:uiPriority w:val="9"/>
    <w:qFormat/>
    <w:pPr>
      <w:keepNext/>
      <w:keepLines/>
      <w:spacing w:after="100" w:before="300"/>
      <w:outlineLvl w:val="1"/>
    </w:pPr>
    <w:rPr>
      <w:rFonts w:ascii="Georgia" w:cs="Georgia" w:eastAsiaTheme="minorEastAsia" w:hAnsi="Georgia"/>
      <w:color w:val="0F5C5A"/>
      <w:sz w:val="28"/>
      <w:szCs w:val="28"/>
    </w:rPr>
  </w:style>
  <w:style w:styleId="Heading3" w:type="paragraph">
    <w:name w:val="heading 3"/>
    <w:basedOn w:val="Normal"/>
    <w:next w:val="BodyText"/>
    <w:link w:val="Heading3Char"/>
    <w:uiPriority w:val="9"/>
    <w:qFormat/>
    <w:pPr>
      <w:keepNext/>
      <w:keepLines/>
      <w:spacing w:after="80" w:before="240"/>
      <w:outlineLvl w:val="2"/>
    </w:pPr>
    <w:rPr>
      <w:rFonts w:ascii="Georgia" w:cs="Georgia" w:eastAsiaTheme="minorEastAsia" w:hAnsi="Georgia"/>
      <w:b/>
      <w:bCs/>
      <w:color w:val="093A39"/>
      <w:sz w:val="24"/>
      <w:szCs w:val="24"/>
    </w:rPr>
  </w:style>
  <w:style w:styleId="Heading4" w:type="paragraph">
    <w:name w:val="heading 4"/>
    <w:basedOn w:val="Normal"/>
    <w:next w:val="BodyText"/>
    <w:link w:val="Heading4Char"/>
    <w:uiPriority w:val="9"/>
    <w:qFormat/>
    <w:pPr>
      <w:keepNext/>
      <w:keepLines/>
      <w:spacing w:after="60" w:before="200"/>
      <w:outlineLvl w:val="3"/>
    </w:pPr>
    <w:rPr>
      <w:rFonts w:ascii="Calibri" w:cs="Calibri" w:eastAsiaTheme="minorEastAsia" w:hAnsi="Calibri"/>
      <w:b/>
      <w:bCs/>
      <w:color w:val="093A39"/>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pPr>
      <w:spacing w:after="0" w:before="0"/>
    </w:pPr>
    <w:rPr>
      <w:sz w:val="20"/>
      <w:szCs w:val="20"/>
    </w:rPr>
    <w:tblPr>
      <w:tblInd w:type="dxa" w:w="0"/>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CellMar>
        <w:top w:type="dxa" w:w="60"/>
        <w:left w:type="dxa" w:w="108"/>
        <w:bottom w:type="dxa" w:w="60"/>
        <w:right w:type="dxa" w:w="108"/>
      </w:tblCellMar>
    </w:tblPr>
    <w:tblStylePr w:type="firstRow">
      <w:rPr>
        <w:b/>
        <w:bCs/>
        <w:color w:val="FFFFFF"/>
      </w:rPr>
      <w:tcPr>
        <w:shd w:color="auto" w:fill="0F5C5A" w:val="clear"/>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0F5C5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Fill-in" w:type="character">
    <w:name w:val="Fill-in"/>
    <w:rPr>
      <w:highlight w:val="yellow"/>
    </w:rPr>
  </w:style>
  <w:style w:customStyle="1" w:styleId="Guidance" w:type="paragraph">
    <w:name w:val="Guidance"/>
    <w:basedOn w:val="Normal"/>
    <w:qFormat/>
    <w:pPr>
      <w:pBdr>
        <w:left w:color="0F5C5A" w:space="8" w:sz="18" w:val="single"/>
      </w:pBdr>
      <w:shd w:color="auto" w:fill="EAF4F3" w:val="clear"/>
      <w:ind w:left="284"/>
    </w:pPr>
    <w:rPr>
      <w:i/>
    </w:rPr>
  </w:style>
  <w:style w:styleId="Header" w:type="paragraph">
    <w:name w:val="header"/>
    <w:basedOn w:val="Normal"/>
    <w:uiPriority w:val="99"/>
    <w:unhideWhenUsed/>
    <w:pPr>
      <w:pBdr>
        <w:bottom w:color="0F5C5A" w:space="4" w:sz="4" w:val="single"/>
      </w:pBdr>
      <w:tabs>
        <w:tab w:pos="9360" w:val="right"/>
      </w:tabs>
      <w:spacing w:after="0"/>
    </w:pPr>
    <w:rPr>
      <w:color w:val="595959"/>
      <w:sz w:val="18"/>
      <w:szCs w:val="18"/>
    </w:rPr>
  </w:style>
  <w:style w:styleId="Footer" w:type="paragraph">
    <w:name w:val="footer"/>
    <w:basedOn w:val="Normal"/>
    <w:uiPriority w:val="99"/>
    <w:unhideWhenUsed/>
    <w:pPr>
      <w:jc w:val="center"/>
      <w:spacing w:after="0"/>
    </w:pPr>
    <w:rPr>
      <w:color w:val="595959"/>
      <w:sz w:val="18"/>
      <w:szCs w:val="18"/>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Pres06Header" Target="header1.xml" Type="http://schemas.openxmlformats.org/officeDocument/2006/relationships/header" /><Relationship Id="rIdPres06Footer" Target="footer1.xml" Type="http://schemas.openxmlformats.org/officeDocument/2006/relationships/footer" /><Relationship Type="http://schemas.openxmlformats.org/officeDocument/2006/relationships/hyperlink" Id="rId10" Target="https://creativecommons.org/publicdomain/zero/1.0/" TargetMode="External" /><Relationship Type="http://schemas.openxmlformats.org/officeDocument/2006/relationships/hyperlink" Id="rId9" Target="https://kston83.github.io/nist-guide/templates/policies/ma/" TargetMode="External" /><Relationship Type="http://schemas.openxmlformats.org/officeDocument/2006/relationships/hyperlink" Id="rId28" Target="https://uscode.house.gov/view.xhtml?req=granuleid:USC-prelim-title44-section3554&amp;num=0&amp;edition=prelim" TargetMode="External" /><Relationship Type="http://schemas.openxmlformats.org/officeDocument/2006/relationships/hyperlink" Id="rId23" Target="https://www.cisa.gov/news-events/directives/binding-operational-directive-23-02" TargetMode="External" /><Relationship Type="http://schemas.openxmlformats.org/officeDocument/2006/relationships/hyperlink" Id="rId21" Target="https://www.whitehouse.gov/wp-content/uploads/2019/05/M-19-17.pdf" TargetMode="External" /><Relationship Type="http://schemas.openxmlformats.org/officeDocument/2006/relationships/hyperlink" Id="rId20" Target="https://www.whitehouse.gov/wp-content/uploads/2022/01/M-22-09.pdf" TargetMode="External" /><Relationship Type="http://schemas.openxmlformats.org/officeDocument/2006/relationships/hyperlink" Id="rId22" Target="https://www.whitehouse.gov/wp-content/uploads/2026/08/M-26-18-Scaling-Use-of-Login.gov-to-Deliver-a-Universal-Sign-on-for-Public-Services.pdf" TargetMode="External" /><Relationship Type="http://schemas.openxmlformats.org/officeDocument/2006/relationships/hyperlink" Id="rId29" Target="https://www.whitehouse.gov/wp-content/uploads/legacy_drupal_files/omb/circulars/A130/a130revised.pdf" TargetMode="External" /></Relationships>
</file>

<file path=word/_rels/footnotes.xml.rels><?xml version="1.0" encoding="UTF-8"?><Relationships xmlns="http://schemas.openxmlformats.org/package/2006/relationships"><Relationship Type="http://schemas.openxmlformats.org/officeDocument/2006/relationships/hyperlink" Id="rId10" Target="https://creativecommons.org/publicdomain/zero/1.0/" TargetMode="External" /><Relationship Type="http://schemas.openxmlformats.org/officeDocument/2006/relationships/hyperlink" Id="rId9" Target="https://kston83.github.io/nist-guide/templates/policies/ma/" TargetMode="External" /><Relationship Type="http://schemas.openxmlformats.org/officeDocument/2006/relationships/hyperlink" Id="rId28" Target="https://uscode.house.gov/view.xhtml?req=granuleid:USC-prelim-title44-section3554&amp;num=0&amp;edition=prelim" TargetMode="External" /><Relationship Type="http://schemas.openxmlformats.org/officeDocument/2006/relationships/hyperlink" Id="rId23" Target="https://www.cisa.gov/news-events/directives/binding-operational-directive-23-02" TargetMode="External" /><Relationship Type="http://schemas.openxmlformats.org/officeDocument/2006/relationships/hyperlink" Id="rId21" Target="https://www.whitehouse.gov/wp-content/uploads/2019/05/M-19-17.pdf" TargetMode="External" /><Relationship Type="http://schemas.openxmlformats.org/officeDocument/2006/relationships/hyperlink" Id="rId20" Target="https://www.whitehouse.gov/wp-content/uploads/2022/01/M-22-09.pdf" TargetMode="External" /><Relationship Type="http://schemas.openxmlformats.org/officeDocument/2006/relationships/hyperlink" Id="rId22" Target="https://www.whitehouse.gov/wp-content/uploads/2026/08/M-26-18-Scaling-Use-of-Login.gov-to-Deliver-a-Universal-Sign-on-for-Public-Services.pdf" TargetMode="External" /><Relationship Type="http://schemas.openxmlformats.org/officeDocument/2006/relationships/hyperlink" Id="rId29" Target="https://www.whitehouse.gov/wp-content/uploads/legacy_drupal_files/omb/circulars/A130/a130revised.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2026-10-16T17:54:52Z</dcterms:created>
  <dcterms:modified xsi:type="dcterms:W3CDTF">2026-10-16T17:54:52Z</dcterms:modified>
</cp:coreProperties>
</file>

<file path=docProps/custom.xml><?xml version="1.0" encoding="utf-8"?>
<Properties xmlns="http://schemas.openxmlformats.org/officeDocument/2006/custom-properties" xmlns:vt="http://schemas.openxmlformats.org/officeDocument/2006/docPropsVTypes"/>
</file>