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8" w:name="maintenance-policy"/>
    <w:p>
      <w:pPr>
        <w:pStyle w:val="Heading1"/>
      </w:pPr>
      <w:r>
        <w:t xml:space="preserve">Maintenance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MA-1,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MA-1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Maintenance, and who is accountable for meeting those requirements. (MA-1a.1(a))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(MA-1a.1(a))</w:t>
      </w:r>
    </w:p>
    <w:p>
      <w:pPr>
        <w:pStyle w:val="Compact"/>
        <w:numPr>
          <w:ilvl w:val="0"/>
          <w:numId w:val="1001"/>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manage the development, documentation and dissemination of this policy and its procedures. (MA-1b)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(MA-1a.1(a))</w:t>
      </w:r>
    </w:p>
    <w:p>
      <w:pPr>
        <w:pStyle w:val="Compact"/>
        <w:numPr>
          <w:ilvl w:val="0"/>
          <w:numId w:val="1002"/>
        </w:numPr>
      </w:pPr>
      <w:r>
        <w:t xml:space="preserve">Violations of this policy shall be handled through the organization’s sanctions process. (MA-1a.1(a))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ensure that documented procedures exist to implement this policy and its associated controls. (MA-1a.2)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maintenance policy is to be disseminated. Typical: everyone within its scope, through the policy library]</w:t>
      </w:r>
      <w:r>
        <w:t xml:space="preserve">. (MA-1a)</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maintenance procedures are to be disseminated. Typical: the people who carry them out, and the system owners]</w:t>
      </w:r>
      <w:r>
        <w:t xml:space="preserve">. (MA-1a)</w:t>
      </w:r>
    </w:p>
    <w:bookmarkEnd w:id="18"/>
    <w:bookmarkStart w:id="43"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2" w:name="controlled-maintenance-ma-2"/>
    <w:p>
      <w:pPr>
        <w:pStyle w:val="Heading3"/>
      </w:pPr>
      <w:r>
        <w:t xml:space="preserve">Controlled maintenance (MA-2)</w:t>
      </w:r>
    </w:p>
    <w:p>
      <w:pPr>
        <w:pStyle w:val="Guidance"/>
      </w:pPr>
      <w:r>
        <w:t xml:space="preserve">MA-2 covers every kind of maintenance, repair and replacement, on site or remote, including printers, scanners and copiers, which NIST’s MA-2 discussion names. The information recorded for each activity is the list NIST’s discussion gives, plus the approval and the control check that MA-2b and MA-2e ask for. The</w:t>
      </w:r>
      <w:r>
        <w:t xml:space="preserve"> </w:t>
      </w:r>
      <w:hyperlink r:id="rId19">
        <w:r>
          <w:rPr>
            <w:rStyle w:val="Hyperlink"/>
          </w:rPr>
          <w:t xml:space="preserve">maintenance log</w:t>
        </w:r>
      </w:hyperlink>
      <w:r>
        <w:t xml:space="preserve"> </w:t>
      </w:r>
      <w:r>
        <w:t xml:space="preserve">holds these records. Sanitize media before they leave for repair as the media sanitization procedure sets out (MP-6), following NIST SP 800-88 Rev. 2,</w:t>
      </w:r>
      <w:r>
        <w:t xml:space="preserve"> </w:t>
      </w:r>
      <w:hyperlink r:id="rId20">
        <w:r>
          <w:rPr>
            <w:rStyle w:val="Hyperlink"/>
          </w:rPr>
          <w:t xml:space="preserve">Guidelines for Media Sanitization</w:t>
        </w:r>
      </w:hyperlink>
      <w:r>
        <w:t xml:space="preserve"> </w:t>
      </w:r>
      <w:r>
        <w:t xml:space="preserve">(September 2025, final; as of September 2026), and record it in the</w:t>
      </w:r>
      <w:r>
        <w:t xml:space="preserve"> </w:t>
      </w:r>
      <w:hyperlink r:id="rId21">
        <w:r>
          <w:rPr>
            <w:rStyle w:val="Hyperlink"/>
          </w:rPr>
          <w:t xml:space="preserve">media sanitization record</w:t>
        </w:r>
      </w:hyperlink>
      <w:r>
        <w:t xml:space="preserve">. Assessors sample maintenance records against the schedule and ask for the removal approvals and sanitization records.</w:t>
      </w:r>
    </w:p>
    <w:p>
      <w:pPr>
        <w:pStyle w:val="Compact"/>
        <w:numPr>
          <w:ilvl w:val="0"/>
          <w:numId w:val="1004"/>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04"/>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04"/>
        </w:numPr>
      </w:pPr>
      <w:r>
        <w:t xml:space="preserve">Maintenance that changes the system’s configuration shall also follow the change control process (CM-3). (MA-2b)</w:t>
      </w:r>
    </w:p>
    <w:p>
      <w:pPr>
        <w:pStyle w:val="Compact"/>
        <w:numPr>
          <w:ilvl w:val="0"/>
          <w:numId w:val="1004"/>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04"/>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04"/>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04"/>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04"/>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p>
      <w:pPr>
        <w:pStyle w:val="Guidance"/>
      </w:pPr>
      <w:r>
        <w:t xml:space="preserve">Replacement components bring supply chain risk, which NIST’s MA-2 discussion asks organizations to consider: obtain them from the original manufacturer or its authorized channel, or from a source the supply chain risk management plan allows. The post-maintenance check can use the change’s security impact analysis (CM-4) to decide which controls to verify.</w:t>
      </w:r>
    </w:p>
    <w:bookmarkEnd w:id="22"/>
    <w:bookmarkStart w:id="23" w:name="maintenance-tools-ma-3"/>
    <w:p>
      <w:pPr>
        <w:pStyle w:val="Heading3"/>
      </w:pPr>
      <w:r>
        <w:t xml:space="preserve">Maintenance tools (MA-3)</w:t>
      </w:r>
    </w:p>
    <w:p>
      <w:pPr>
        <w:pStyle w:val="Guidance"/>
      </w:pPr>
      <w:r>
        <w:t xml:space="preserve">Maintenance tools are the diagnostic and repair tools that are not part of the system: diagnostic test equipment, packet sniffers, vendor utilities brought in on media or downloaded, and cloud-based diagnostic services. NIST’s MA-3 discussion notes they can carry malicious code into a facility and a system, and excludes utilities built into the system, such as ping or a switch’s monitoring port. Keep the approved tools list in the</w:t>
      </w:r>
      <w:r>
        <w:t xml:space="preserve"> </w:t>
      </w:r>
      <w:hyperlink r:id="rId19">
        <w:r>
          <w:rPr>
            <w:rStyle w:val="Hyperlink"/>
          </w:rPr>
          <w:t xml:space="preserve">maintenance log</w:t>
        </w:r>
      </w:hyperlink>
      <w:r>
        <w:t xml:space="preserve">. The periodic review withdraws approval for tools that are outdated, unsupported or no longer used, as NIST’s discussion describes.</w:t>
      </w:r>
    </w:p>
    <w:p>
      <w:pPr>
        <w:pStyle w:val="Compact"/>
        <w:numPr>
          <w:ilvl w:val="0"/>
          <w:numId w:val="1005"/>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005"/>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005"/>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005"/>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3"/>
    <w:bookmarkStart w:id="24" w:name="inspect-tools-ma-31"/>
    <w:p>
      <w:pPr>
        <w:pStyle w:val="Heading3"/>
      </w:pPr>
      <w:r>
        <w:t xml:space="preserve">Inspect tools (MA-3(1))</w:t>
      </w:r>
    </w:p>
    <w:p>
      <w:pPr>
        <w:pStyle w:val="Guidance"/>
      </w:pPr>
      <w:r>
        <w:t xml:space="preserve">Inspection means checking that a tool is the approved one, in the approved version, with no sign of tampering: for hardware, its seals, serial number and condition; for software, a hash or signature check against the vendor’s published value. NIST’s discussion of this enhancement has an improperly modified tool, or one containing malicious code, handled as an incident.</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006"/>
        </w:numPr>
      </w:pPr>
      <w:r>
        <w:t xml:space="preserve">Personnel shall report a tool found to be modified improperly, or to contain malicious code, as a security incident under the incident response plan (IR-6). (MA-3(1))</w:t>
      </w:r>
    </w:p>
    <w:bookmarkEnd w:id="24"/>
    <w:bookmarkStart w:id="25" w:name="inspect-media-ma-32"/>
    <w:p>
      <w:pPr>
        <w:pStyle w:val="Heading3"/>
      </w:pPr>
      <w:r>
        <w:t xml:space="preserve">Inspect media (MA-3(2))</w:t>
      </w:r>
    </w:p>
    <w:p>
      <w:pPr>
        <w:pStyle w:val="Guidance"/>
      </w:pPr>
      <w:r>
        <w:t xml:space="preserve">Scan the media on a workstation that is not connected to the system, with the organization’s malicious code protection (SI-3), and record the scan in the maintenance log. NIST’s discussion of this enhancement has malicious code found on the media handled as an incident.</w:t>
      </w:r>
    </w:p>
    <w:p>
      <w:pPr>
        <w:pStyle w:val="Compact"/>
        <w:numPr>
          <w:ilvl w:val="0"/>
          <w:numId w:val="1007"/>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007"/>
        </w:numPr>
      </w:pPr>
      <w:r>
        <w:t xml:space="preserve">Personnel shall report malicious code found on such media as a security incident under the incident response plan (IR-6), and the media shall not be used. (MA-3(2))</w:t>
      </w:r>
    </w:p>
    <w:bookmarkEnd w:id="25"/>
    <w:bookmarkStart w:id="28" w:name="prevent-unauthorized-removal-ma-33"/>
    <w:p>
      <w:pPr>
        <w:pStyle w:val="Heading3"/>
      </w:pPr>
      <w:r>
        <w:t xml:space="preserve">Prevent unauthorized removal (MA-3(3))</w:t>
      </w:r>
    </w:p>
    <w:p>
      <w:pPr>
        <w:pStyle w:val="Guidance"/>
      </w:pPr>
      <w:r>
        <w:t xml:space="preserve">MA-3(3) covers maintenance equipment, such as a vendor’s diagnostic laptop or analyzer, that may have picked up organizational information during the work. Organizational information includes information the organization holds as a steward for others, as NIST’s discussion of this enhancement says. The four measures are alternatives; the maintenance log records which one was used. Sanitize as the media sanitization procedure sets out (MP-6), and record it in the</w:t>
      </w:r>
      <w:r>
        <w:t xml:space="preserve"> </w:t>
      </w:r>
      <w:hyperlink r:id="rId21">
        <w:r>
          <w:rPr>
            <w:rStyle w:val="Hyperlink"/>
          </w:rPr>
          <w:t xml:space="preserve">media sanitization record</w:t>
        </w:r>
      </w:hyperlink>
      <w:r>
        <w:t xml:space="preserve">.</w:t>
      </w:r>
    </w:p>
    <w:p>
      <w:pPr>
        <w:pStyle w:val="Compact"/>
        <w:numPr>
          <w:ilvl w:val="0"/>
          <w:numId w:val="1008"/>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008"/>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008"/>
        </w:numPr>
      </w:pPr>
      <w:r>
        <w:t xml:space="preserve">Maintenance contracts shall allow the organization to keep, sanitize or destroy maintenance equipment or its storage media that contain organizational information. (MA-3(3))</w:t>
      </w:r>
    </w:p>
    <w:bookmarkStart w:id="27" w:name="federal-systems"/>
    <w:p>
      <w:pPr>
        <w:pStyle w:val="Heading4"/>
      </w:pPr>
      <w:r>
        <w:t xml:space="preserve">Federal systems</w:t>
      </w:r>
    </w:p>
    <w:p>
      <w:pPr>
        <w:pStyle w:val="FirstParagraph"/>
      </w:pPr>
      <w:r>
        <w:t xml:space="preserve">Under</w:t>
      </w:r>
      <w:r>
        <w:t xml:space="preserve"> </w:t>
      </w:r>
      <w:hyperlink r:id="rId26">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009"/>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7"/>
    <w:bookmarkEnd w:id="28"/>
    <w:bookmarkStart w:id="34" w:name="nonlocal-maintenance-ma-4"/>
    <w:p>
      <w:pPr>
        <w:pStyle w:val="Heading3"/>
      </w:pPr>
      <w:r>
        <w:t xml:space="preserve">Nonlocal maintenance (MA-4)</w:t>
      </w:r>
    </w:p>
    <w:p>
      <w:pPr>
        <w:pStyle w:val="Guidance"/>
      </w:pPr>
      <w:r>
        <w:t xml:space="preserve">Nonlocal maintenance is maintenance or diagnosis by someone who connects over a network, internal or external, rather than being physically present. It is remote access, so the AC-17 requirements apply as well: a managed access control point (AC-17(3)), encryption (AC-17(2)) and remote privileged commands only as AC-17(4) allows. NIST’s MA-4 discussion ties strong authentication to IA-2: replay-resistant, multi-factor authenticators, such as a PKI certificate on a token protected by a PIN. The common finding is a vendor’s always-on remote support tool or account that nobody approved; enabling a maintenance account only for each approved session and disabling it afterward closes that gap. The</w:t>
      </w:r>
      <w:r>
        <w:t xml:space="preserve"> </w:t>
      </w:r>
      <w:hyperlink r:id="rId19">
        <w:r>
          <w:rPr>
            <w:rStyle w:val="Hyperlink"/>
          </w:rPr>
          <w:t xml:space="preserve">maintenance log</w:t>
        </w:r>
      </w:hyperlink>
      <w:r>
        <w:t xml:space="preserve"> </w:t>
      </w:r>
      <w:r>
        <w:t xml:space="preserve">records each session.</w:t>
      </w:r>
    </w:p>
    <w:p>
      <w:pPr>
        <w:pStyle w:val="Compact"/>
        <w:numPr>
          <w:ilvl w:val="0"/>
          <w:numId w:val="1010"/>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10"/>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10"/>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10"/>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10"/>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10"/>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10"/>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10"/>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33" w:name="federal-systems-1"/>
    <w:p>
      <w:pPr>
        <w:pStyle w:val="Heading4"/>
      </w:pPr>
      <w:r>
        <w:t xml:space="preserve">Federal systems</w:t>
      </w:r>
    </w:p>
    <w:p>
      <w:pPr>
        <w:pStyle w:val="FirstParagraph"/>
      </w:pPr>
      <w:hyperlink r:id="rId29">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30">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31">
        <w:r>
          <w:rPr>
            <w:rStyle w:val="Hyperlink"/>
          </w:rPr>
          <w:t xml:space="preserve">OMB M-26-18</w:t>
        </w:r>
      </w:hyperlink>
      <w:r>
        <w:t xml:space="preserve"> </w:t>
      </w:r>
      <w:r>
        <w:t xml:space="preserve">(August 31, 2026), footnote 5, lists both memoranda as existing OMB policy. CISA</w:t>
      </w:r>
      <w:r>
        <w:t xml:space="preserve"> </w:t>
      </w:r>
      <w:hyperlink r:id="rId32">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11"/>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11"/>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33"/>
    <w:bookmarkEnd w:id="34"/>
    <w:bookmarkStart w:id="38" w:name="maintenance-personnel-ma-5"/>
    <w:p>
      <w:pPr>
        <w:pStyle w:val="Heading3"/>
      </w:pPr>
      <w:r>
        <w:t xml:space="preserve">Maintenance personnel (MA-5)</w:t>
      </w:r>
    </w:p>
    <w:p>
      <w:pPr>
        <w:pStyle w:val="Guidance"/>
      </w:pPr>
      <w:r>
        <w:t xml:space="preserve">MA-5 covers the people who maintain the system’s hardware and software; physical access to the facility for them is PE-2, recorded in the</w:t>
      </w:r>
      <w:r>
        <w:t xml:space="preserve"> </w:t>
      </w:r>
      <w:hyperlink r:id="rId35">
        <w:r>
          <w:rPr>
            <w:rStyle w:val="Hyperlink"/>
          </w:rPr>
          <w:t xml:space="preserve">physical access list</w:t>
        </w:r>
      </w:hyperlink>
      <w:r>
        <w:t xml:space="preserve"> </w:t>
      </w:r>
      <w:r>
        <w:t xml:space="preserve">or, for visitors, the</w:t>
      </w:r>
      <w:r>
        <w:t xml:space="preserve"> </w:t>
      </w:r>
      <w:hyperlink r:id="rId36">
        <w:r>
          <w:rPr>
            <w:rStyle w:val="Hyperlink"/>
          </w:rPr>
          <w:t xml:space="preserve">visitor log</w:t>
        </w:r>
      </w:hyperlink>
      <w:r>
        <w:t xml:space="preserve">. Unescorted maintenance personnel need the same access authorizations as anyone with that access: screening (PS-3), a signed access agreement (PS-6) and, for a contractor, the external personnel requirements of the</w:t>
      </w:r>
      <w:r>
        <w:t xml:space="preserve"> </w:t>
      </w:r>
      <w:hyperlink r:id="rId37">
        <w:r>
          <w:rPr>
            <w:rStyle w:val="Hyperlink"/>
          </w:rPr>
          <w:t xml:space="preserve">Personnel Security Policy</w:t>
        </w:r>
      </w:hyperlink>
      <w:r>
        <w:t xml:space="preserve"> </w:t>
      </w:r>
      <w:r>
        <w:t xml:space="preserve">(PS-7). NIST’s MA-5 discussion allows temporary credentials, for one use or a very limited time, for vendors who must work with little notice. The</w:t>
      </w:r>
      <w:r>
        <w:t xml:space="preserve"> </w:t>
      </w:r>
      <w:hyperlink r:id="rId19">
        <w:r>
          <w:rPr>
            <w:rStyle w:val="Hyperlink"/>
          </w:rPr>
          <w:t xml:space="preserve">maintenance log</w:t>
        </w:r>
      </w:hyperlink>
      <w:r>
        <w:t xml:space="preserve"> </w:t>
      </w:r>
      <w:r>
        <w:t xml:space="preserve">holds the authorized list and records each escort.</w:t>
      </w:r>
    </w:p>
    <w:p>
      <w:pPr>
        <w:pStyle w:val="Compact"/>
        <w:numPr>
          <w:ilvl w:val="0"/>
          <w:numId w:val="1012"/>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12"/>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12"/>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12"/>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12"/>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12"/>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12"/>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38"/>
    <w:bookmarkStart w:id="42" w:name="timely-maintenance-ma-6"/>
    <w:p>
      <w:pPr>
        <w:pStyle w:val="Heading3"/>
      </w:pPr>
      <w:r>
        <w:t xml:space="preserve">Timely maintenance (MA-6)</w:t>
      </w:r>
    </w:p>
    <w:p>
      <w:pPr>
        <w:pStyle w:val="Guidance"/>
      </w:pPr>
      <w:r>
        <w:t xml:space="preserve">MA-6 makes sure a failed component can be fixed in time. NIST’s MA-6 discussion has the organization pick the components whose failure raises risk, and names having contracts in place as one way to obtain support. Take the components and time from the</w:t>
      </w:r>
      <w:r>
        <w:t xml:space="preserve"> </w:t>
      </w:r>
      <w:hyperlink r:id="rId39">
        <w:r>
          <w:rPr>
            <w:rStyle w:val="Hyperlink"/>
          </w:rPr>
          <w:t xml:space="preserve">business impact analysis</w:t>
        </w:r>
      </w:hyperlink>
      <w:r>
        <w:t xml:space="preserve"> </w:t>
      </w:r>
      <w:r>
        <w:t xml:space="preserve">and the</w:t>
      </w:r>
      <w:r>
        <w:t xml:space="preserve"> </w:t>
      </w:r>
      <w:hyperlink r:id="rId40">
        <w:r>
          <w:rPr>
            <w:rStyle w:val="Hyperlink"/>
          </w:rPr>
          <w:t xml:space="preserve">contingency plan</w:t>
        </w:r>
      </w:hyperlink>
      <w:r>
        <w:t xml:space="preserve">, so the maintenance support and the recovery time objective agree (CP-2, CP-10). For cloud services, the provider’s service level agreement covers its components; record that in the</w:t>
      </w:r>
      <w:r>
        <w:t xml:space="preserve"> </w:t>
      </w:r>
      <w:hyperlink r:id="rId41">
        <w:r>
          <w:rPr>
            <w:rStyle w:val="Hyperlink"/>
          </w:rPr>
          <w:t xml:space="preserve">external service review</w:t>
        </w:r>
      </w:hyperlink>
      <w:r>
        <w:t xml:space="preserve">.</w:t>
      </w:r>
    </w:p>
    <w:p>
      <w:pPr>
        <w:pStyle w:val="Compact"/>
        <w:numPr>
          <w:ilvl w:val="0"/>
          <w:numId w:val="1013"/>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013"/>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013"/>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42"/>
    <w:bookmarkEnd w:id="43"/>
    <w:bookmarkStart w:id="47" w:name="review-and-update"/>
    <w:p>
      <w:pPr>
        <w:pStyle w:val="Heading2"/>
      </w:pPr>
      <w:r>
        <w:t xml:space="preserve">Review and update</w:t>
      </w:r>
    </w:p>
    <w:p>
      <w:pPr>
        <w:pStyle w:val="Compact"/>
        <w:numPr>
          <w:ilvl w:val="0"/>
          <w:numId w:val="1014"/>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maintenance policy is reviewed and updated. Typical: annually]</w:t>
      </w:r>
      <w:r>
        <w:t xml:space="preserve"> </w:t>
      </w:r>
      <w:r>
        <w:t xml:space="preserve">and following</w:t>
      </w:r>
      <w:r>
        <w:t xml:space="preserve"> </w:t>
      </w:r>
      <w:r>
        <w:rPr>
          <w:rStyle w:val="Fill-in"/>
        </w:rPr>
        <w:t xml:space="preserve">[Fill in: events that would require the current maintenance policy to be reviewed and updated. Typical: assessment or audit findings, security incidents or breaches, and changes in applicable laws, executive orders, directives, regulations, policies, standards or guidelines]</w:t>
      </w:r>
      <w:r>
        <w:t xml:space="preserve">. (MA-1c.1)</w:t>
      </w:r>
    </w:p>
    <w:p>
      <w:pPr>
        <w:pStyle w:val="Compact"/>
        <w:numPr>
          <w:ilvl w:val="0"/>
          <w:numId w:val="1014"/>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maintenance procedures are reviewed and updated. Typical: annually]</w:t>
      </w:r>
      <w:r>
        <w:t xml:space="preserve"> </w:t>
      </w:r>
      <w:r>
        <w:t xml:space="preserve">and following</w:t>
      </w:r>
      <w:r>
        <w:t xml:space="preserve"> </w:t>
      </w:r>
      <w:r>
        <w:rPr>
          <w:rStyle w:val="Fill-in"/>
        </w:rPr>
        <w:t xml:space="preserve">[Fill in: events that would require the maintenance procedures to be reviewed and updated. Typical: the same events as the policy, and changes to the systems, tools or services the procedures describe]</w:t>
      </w:r>
      <w:r>
        <w:t xml:space="preserve">. (MA-1c.2)</w:t>
      </w:r>
    </w:p>
    <w:bookmarkStart w:id="46"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4">
        <w:r>
          <w:rPr>
            <w:rStyle w:val="Hyperlink"/>
          </w:rPr>
          <w:t xml:space="preserve">44 U.S.C. § 3554</w:t>
        </w:r>
      </w:hyperlink>
      <w:r>
        <w:t xml:space="preserve">, Federal agency responsibilities) and</w:t>
      </w:r>
      <w:r>
        <w:t xml:space="preserve"> </w:t>
      </w:r>
      <w:hyperlink r:id="rId45">
        <w:r>
          <w:rPr>
            <w:rStyle w:val="Hyperlink"/>
          </w:rPr>
          <w:t xml:space="preserve">OMB Circular A-130</w:t>
        </w:r>
      </w:hyperlink>
      <w:r>
        <w:t xml:space="preserve">, Appendix I, Responsibilities for Protecting and Managing Federal Information Resources.</w:t>
      </w:r>
    </w:p>
    <w:p>
      <w:pPr>
        <w:pStyle w:val="Compact"/>
        <w:numPr>
          <w:ilvl w:val="0"/>
          <w:numId w:val="1015"/>
        </w:numPr>
      </w:pPr>
      <w:r>
        <w:t xml:space="preserve">Where the agency’s organization-wide policy sets a value for a parameter in this policy, each system shall use that value or a stricter one. (MA-1a.1(b))</w:t>
      </w:r>
    </w:p>
    <w:bookmarkEnd w:id="46"/>
    <w:bookmarkEnd w:id="47"/>
    <w:bookmarkEnd w:id="4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41" Target="https://kston83.github.io/nist-guide/templates/forms/external-service-review/" TargetMode="External" /><Relationship Type="http://schemas.openxmlformats.org/officeDocument/2006/relationships/hyperlink" Id="rId19" Target="https://kston83.github.io/nist-guide/templates/forms/maintenance-log/" TargetMode="External" /><Relationship Type="http://schemas.openxmlformats.org/officeDocument/2006/relationships/hyperlink" Id="rId21" Target="https://kston83.github.io/nist-guide/templates/forms/media-sanitization-record/" TargetMode="External" /><Relationship Type="http://schemas.openxmlformats.org/officeDocument/2006/relationships/hyperlink" Id="rId35" Target="https://kston83.github.io/nist-guide/templates/forms/physical-access-list/" TargetMode="External" /><Relationship Type="http://schemas.openxmlformats.org/officeDocument/2006/relationships/hyperlink" Id="rId36" Target="https://kston83.github.io/nist-guide/templates/forms/visitor-log/" TargetMode="External" /><Relationship Type="http://schemas.openxmlformats.org/officeDocument/2006/relationships/hyperlink" Id="rId40" Target="https://kston83.github.io/nist-guide/templates/plans/contingency-plan/" TargetMode="External" /><Relationship Type="http://schemas.openxmlformats.org/officeDocument/2006/relationships/hyperlink" Id="rId9" Target="https://kston83.github.io/nist-guide/templates/policies/ma/" TargetMode="External" /><Relationship Type="http://schemas.openxmlformats.org/officeDocument/2006/relationships/hyperlink" Id="rId37" Target="https://kston83.github.io/nist-guide/templates/policies/ps/" TargetMode="External" /><Relationship Type="http://schemas.openxmlformats.org/officeDocument/2006/relationships/hyperlink" Id="rId39" Target="https://kston83.github.io/nist-guide/templates/reports/business-impact-analysis/" TargetMode="External" /><Relationship Type="http://schemas.openxmlformats.org/officeDocument/2006/relationships/hyperlink" Id="rId44" Target="https://uscode.house.gov/view.xhtml?req=granuleid:USC-prelim-title44-section3554&amp;num=0&amp;edition=prelim" TargetMode="External" /><Relationship Type="http://schemas.openxmlformats.org/officeDocument/2006/relationships/hyperlink" Id="rId32" Target="https://www.cisa.gov/news-events/directives/binding-operational-directive-23-02" TargetMode="External" /><Relationship Type="http://schemas.openxmlformats.org/officeDocument/2006/relationships/hyperlink" Id="rId26" Target="https://www.ecfr.gov/current/title-32/section-2002.14" TargetMode="External" /><Relationship Type="http://schemas.openxmlformats.org/officeDocument/2006/relationships/hyperlink" Id="rId30" Target="https://www.whitehouse.gov/wp-content/uploads/2019/05/M-19-17.pdf" TargetMode="External" /><Relationship Type="http://schemas.openxmlformats.org/officeDocument/2006/relationships/hyperlink" Id="rId29" Target="https://www.whitehouse.gov/wp-content/uploads/2022/01/M-22-09.pdf" TargetMode="External" /><Relationship Type="http://schemas.openxmlformats.org/officeDocument/2006/relationships/hyperlink" Id="rId31" Target="https://www.whitehouse.gov/wp-content/uploads/2026/08/M-26-18-Scaling-Use-of-Login.gov-to-Deliver-a-Universal-Sign-on-for-Public-Services.pdf" TargetMode="External" /><Relationship Type="http://schemas.openxmlformats.org/officeDocument/2006/relationships/hyperlink" Id="rId4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41" Target="https://kston83.github.io/nist-guide/templates/forms/external-service-review/" TargetMode="External" /><Relationship Type="http://schemas.openxmlformats.org/officeDocument/2006/relationships/hyperlink" Id="rId19" Target="https://kston83.github.io/nist-guide/templates/forms/maintenance-log/" TargetMode="External" /><Relationship Type="http://schemas.openxmlformats.org/officeDocument/2006/relationships/hyperlink" Id="rId21" Target="https://kston83.github.io/nist-guide/templates/forms/media-sanitization-record/" TargetMode="External" /><Relationship Type="http://schemas.openxmlformats.org/officeDocument/2006/relationships/hyperlink" Id="rId35" Target="https://kston83.github.io/nist-guide/templates/forms/physical-access-list/" TargetMode="External" /><Relationship Type="http://schemas.openxmlformats.org/officeDocument/2006/relationships/hyperlink" Id="rId36" Target="https://kston83.github.io/nist-guide/templates/forms/visitor-log/" TargetMode="External" /><Relationship Type="http://schemas.openxmlformats.org/officeDocument/2006/relationships/hyperlink" Id="rId40" Target="https://kston83.github.io/nist-guide/templates/plans/contingency-plan/" TargetMode="External" /><Relationship Type="http://schemas.openxmlformats.org/officeDocument/2006/relationships/hyperlink" Id="rId9" Target="https://kston83.github.io/nist-guide/templates/policies/ma/" TargetMode="External" /><Relationship Type="http://schemas.openxmlformats.org/officeDocument/2006/relationships/hyperlink" Id="rId37" Target="https://kston83.github.io/nist-guide/templates/policies/ps/" TargetMode="External" /><Relationship Type="http://schemas.openxmlformats.org/officeDocument/2006/relationships/hyperlink" Id="rId39" Target="https://kston83.github.io/nist-guide/templates/reports/business-impact-analysis/" TargetMode="External" /><Relationship Type="http://schemas.openxmlformats.org/officeDocument/2006/relationships/hyperlink" Id="rId44" Target="https://uscode.house.gov/view.xhtml?req=granuleid:USC-prelim-title44-section3554&amp;num=0&amp;edition=prelim" TargetMode="External" /><Relationship Type="http://schemas.openxmlformats.org/officeDocument/2006/relationships/hyperlink" Id="rId32" Target="https://www.cisa.gov/news-events/directives/binding-operational-directive-23-02" TargetMode="External" /><Relationship Type="http://schemas.openxmlformats.org/officeDocument/2006/relationships/hyperlink" Id="rId26" Target="https://www.ecfr.gov/current/title-32/section-2002.14" TargetMode="External" /><Relationship Type="http://schemas.openxmlformats.org/officeDocument/2006/relationships/hyperlink" Id="rId30" Target="https://www.whitehouse.gov/wp-content/uploads/2019/05/M-19-17.pdf" TargetMode="External" /><Relationship Type="http://schemas.openxmlformats.org/officeDocument/2006/relationships/hyperlink" Id="rId29" Target="https://www.whitehouse.gov/wp-content/uploads/2022/01/M-22-09.pdf" TargetMode="External" /><Relationship Type="http://schemas.openxmlformats.org/officeDocument/2006/relationships/hyperlink" Id="rId31" Target="https://www.whitehouse.gov/wp-content/uploads/2026/08/M-26-18-Scaling-Use-of-Login.gov-to-Deliver-a-Universal-Sign-on-for-Public-Services.pdf" TargetMode="External" /><Relationship Type="http://schemas.openxmlformats.org/officeDocument/2006/relationships/hyperlink" Id="rId4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