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35" w:name="policy-statements"/>
    <w:p>
      <w:pPr>
        <w:pStyle w:val="Heading2"/>
      </w:pPr>
      <w:r>
        <w:t xml:space="preserve">Policy statements</w:t>
      </w:r>
    </w:p>
    <w:bookmarkStart w:id="19" w:name="media-access-mp-2"/>
    <w:p>
      <w:pPr>
        <w:pStyle w:val="Heading3"/>
      </w:pPr>
      <w:r>
        <w:t xml:space="preserve">Media access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19"/>
    <w:bookmarkStart w:id="22" w:name="media-marking-mp-3"/>
    <w:p>
      <w:pPr>
        <w:pStyle w:val="Heading3"/>
      </w:pPr>
      <w:r>
        <w:t xml:space="preserve">Media marking (MP-3)</w:t>
      </w:r>
    </w:p>
    <w:p>
      <w:pPr>
        <w:pStyle w:val="Compact"/>
        <w:numPr>
          <w:ilvl w:val="0"/>
          <w:numId w:val="1005"/>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005"/>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005"/>
        </w:numPr>
      </w:pPr>
      <w:r>
        <w:t xml:space="preserve">Digital media shall carry the marking on the media themselves where they are large enough, and otherwise on their container. (MP-3a)</w:t>
      </w:r>
    </w:p>
    <w:p>
      <w:pPr>
        <w:pStyle w:val="Compact"/>
        <w:numPr>
          <w:ilvl w:val="0"/>
          <w:numId w:val="1005"/>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21" w:name="federal-systems"/>
    <w:p>
      <w:pPr>
        <w:pStyle w:val="Heading4"/>
      </w:pPr>
      <w:r>
        <w:t xml:space="preserve">Federal systems</w:t>
      </w:r>
    </w:p>
    <w:p>
      <w:pPr>
        <w:pStyle w:val="FirstParagraph"/>
      </w:pPr>
      <w:r>
        <w:t xml:space="preserve">Under</w:t>
      </w:r>
      <w:r>
        <w:t xml:space="preserve"> </w:t>
      </w:r>
      <w:hyperlink r:id="rId20">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006"/>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006"/>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21"/>
    <w:bookmarkEnd w:id="22"/>
    <w:bookmarkStart w:id="25" w:name="media-storage-mp-4"/>
    <w:p>
      <w:pPr>
        <w:pStyle w:val="Heading3"/>
      </w:pPr>
      <w:r>
        <w:t xml:space="preserve">Media storage (MP-4)</w:t>
      </w:r>
    </w:p>
    <w:p>
      <w:pPr>
        <w:pStyle w:val="Compact"/>
        <w:numPr>
          <w:ilvl w:val="0"/>
          <w:numId w:val="1007"/>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007"/>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007"/>
        </w:numPr>
      </w:pPr>
      <w:r>
        <w:t xml:space="preserve">Digital media stored outside the data center shall be encrypted as the encryption and key management standard requires for removable media (SC-28(1)). (MP-4a)</w:t>
      </w:r>
    </w:p>
    <w:p>
      <w:pPr>
        <w:pStyle w:val="Compact"/>
        <w:numPr>
          <w:ilvl w:val="0"/>
          <w:numId w:val="1007"/>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24" w:name="federal-systems-1"/>
    <w:p>
      <w:pPr>
        <w:pStyle w:val="Heading4"/>
      </w:pPr>
      <w:r>
        <w:t xml:space="preserve">Federal systems</w:t>
      </w:r>
    </w:p>
    <w:p>
      <w:pPr>
        <w:pStyle w:val="FirstParagraph"/>
      </w:pPr>
      <w:r>
        <w:t xml:space="preserve">Under</w:t>
      </w:r>
      <w:r>
        <w:t xml:space="preserve"> </w:t>
      </w:r>
      <w:hyperlink r:id="rId23">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24"/>
    <w:bookmarkEnd w:id="25"/>
    <w:bookmarkStart w:id="27" w:name="media-transport-mp-5"/>
    <w:p>
      <w:pPr>
        <w:pStyle w:val="Heading3"/>
      </w:pPr>
      <w:r>
        <w:t xml:space="preserve">Media transport (MP-5)</w:t>
      </w:r>
    </w:p>
    <w:p>
      <w:pPr>
        <w:pStyle w:val="Compact"/>
        <w:numPr>
          <w:ilvl w:val="0"/>
          <w:numId w:val="1009"/>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009"/>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009"/>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009"/>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009"/>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009"/>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26" w:name="federal-systems-2"/>
    <w:p>
      <w:pPr>
        <w:pStyle w:val="Heading4"/>
      </w:pPr>
      <w:r>
        <w:t xml:space="preserve">Federal systems</w:t>
      </w:r>
    </w:p>
    <w:p>
      <w:pPr>
        <w:pStyle w:val="FirstParagraph"/>
      </w:pPr>
      <w:r>
        <w:t xml:space="preserve">Under</w:t>
      </w:r>
      <w:r>
        <w:t xml:space="preserve"> </w:t>
      </w:r>
      <w:hyperlink r:id="rId23">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010"/>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26"/>
    <w:bookmarkEnd w:id="27"/>
    <w:bookmarkStart w:id="30" w:name="media-sanitization-mp-6"/>
    <w:p>
      <w:pPr>
        <w:pStyle w:val="Heading3"/>
      </w:pPr>
      <w:r>
        <w:t xml:space="preserve">Media sanitization (MP-6)</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11"/>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11"/>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11"/>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11"/>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11"/>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11"/>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11"/>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11"/>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11"/>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9" w:name="federal-systems-3"/>
    <w:p>
      <w:pPr>
        <w:pStyle w:val="Heading4"/>
      </w:pPr>
      <w:r>
        <w:t xml:space="preserve">Federal systems</w:t>
      </w:r>
    </w:p>
    <w:p>
      <w:pPr>
        <w:pStyle w:val="FirstParagraph"/>
      </w:pPr>
      <w:r>
        <w:t xml:space="preserve">Under</w:t>
      </w:r>
      <w:r>
        <w:t xml:space="preserve"> </w:t>
      </w:r>
      <w:hyperlink r:id="rId23">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8">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12"/>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12"/>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12"/>
        </w:numPr>
      </w:pPr>
      <w:r>
        <w:t xml:space="preserve">Cryptographic erase shall rely only on encryption modules validated to the current FIPS 140 standard. (MP-6b)</w:t>
      </w:r>
    </w:p>
    <w:bookmarkEnd w:id="29"/>
    <w:bookmarkEnd w:id="30"/>
    <w:bookmarkStart w:id="31" w:name="Xa6a79656e993c0467cf8c257ffe8b36cbbb724f"/>
    <w:p>
      <w:pPr>
        <w:pStyle w:val="Heading3"/>
      </w:pPr>
      <w:r>
        <w:t xml:space="preserve">Review, approve, track, document and verify (MP-6(1))</w:t>
      </w:r>
    </w:p>
    <w:p>
      <w:pPr>
        <w:pStyle w:val="Compact"/>
        <w:numPr>
          <w:ilvl w:val="0"/>
          <w:numId w:val="1013"/>
        </w:numPr>
      </w:pPr>
      <w:r>
        <w:t xml:space="preserve">The</w:t>
      </w:r>
      <w:r>
        <w:t xml:space="preserve"> </w:t>
      </w:r>
      <w:r>
        <w:rPr>
          <w:rStyle w:val="Fill-in"/>
        </w:rPr>
        <w:t xml:space="preserve">[System owner]</w:t>
      </w:r>
      <w:r>
        <w:t xml:space="preserve"> </w:t>
      </w:r>
      <w:r>
        <w:t xml:space="preserve">shall review and approve each media sanitization and disposal action before it is performed, confirming that records retention requirements are met. (MP-6(1))</w:t>
      </w:r>
    </w:p>
    <w:p>
      <w:pPr>
        <w:pStyle w:val="Compact"/>
        <w:numPr>
          <w:ilvl w:val="0"/>
          <w:numId w:val="1013"/>
        </w:numPr>
      </w:pPr>
      <w:r>
        <w:t xml:space="preserve">The</w:t>
      </w:r>
      <w:r>
        <w:t xml:space="preserve"> </w:t>
      </w:r>
      <w:r>
        <w:rPr>
          <w:rStyle w:val="Fill-in"/>
        </w:rPr>
        <w:t xml:space="preserve">[System owner]</w:t>
      </w:r>
      <w:r>
        <w:t xml:space="preserve"> </w:t>
      </w:r>
      <w:r>
        <w:t xml:space="preserve">shall track each item of media from its removal from service to its final disposition, so that every item removed has a recorded outcome. (MP-6(1))</w:t>
      </w:r>
    </w:p>
    <w:p>
      <w:pPr>
        <w:pStyle w:val="Compact"/>
        <w:numPr>
          <w:ilvl w:val="0"/>
          <w:numId w:val="1013"/>
        </w:numPr>
      </w:pPr>
      <w:r>
        <w:t xml:space="preserve">The</w:t>
      </w:r>
      <w:r>
        <w:t xml:space="preserve"> </w:t>
      </w:r>
      <w:r>
        <w:rPr>
          <w:rStyle w:val="Fill-in"/>
        </w:rPr>
        <w:t xml:space="preserve">[System owner]</w:t>
      </w:r>
      <w:r>
        <w:t xml:space="preserve"> </w:t>
      </w:r>
      <w:r>
        <w:t xml:space="preserve">shall document each media sanitization and disposal action in the media sanitization record, including who reviewed and approved it, the type of media, the files or information stored on them, the sanitization method, the date and time, who performed it, the verification and who performed it, and the disposal action taken. (MP-6(1))</w:t>
      </w:r>
    </w:p>
    <w:p>
      <w:pPr>
        <w:pStyle w:val="Compact"/>
        <w:numPr>
          <w:ilvl w:val="0"/>
          <w:numId w:val="1013"/>
        </w:numPr>
      </w:pPr>
      <w:r>
        <w:t xml:space="preserve">The</w:t>
      </w:r>
      <w:r>
        <w:t xml:space="preserve"> </w:t>
      </w:r>
      <w:r>
        <w:rPr>
          <w:rStyle w:val="Fill-in"/>
        </w:rPr>
        <w:t xml:space="preserve">[System owner]</w:t>
      </w:r>
      <w:r>
        <w:t xml:space="preserve"> </w:t>
      </w:r>
      <w:r>
        <w:t xml:space="preserve">shall verify that the sanitization was effective before the media are disposed of; a result that is not accepted shall be repeated with a different technique or a stronger method. (MP-6(1))</w:t>
      </w:r>
    </w:p>
    <w:bookmarkEnd w:id="31"/>
    <w:bookmarkStart w:id="32" w:name="equipment-testing-mp-62"/>
    <w:p>
      <w:pPr>
        <w:pStyle w:val="Heading3"/>
      </w:pPr>
      <w:r>
        <w:t xml:space="preserve">Equipment testing (MP-6(2))</w:t>
      </w:r>
    </w:p>
    <w:p>
      <w:pPr>
        <w:pStyle w:val="Compact"/>
        <w:numPr>
          <w:ilvl w:val="0"/>
          <w:numId w:val="1014"/>
        </w:numPr>
      </w:pPr>
      <w:r>
        <w:t xml:space="preserve">The</w:t>
      </w:r>
      <w:r>
        <w:t xml:space="preserve"> </w:t>
      </w:r>
      <w:r>
        <w:rPr>
          <w:rStyle w:val="Fill-in"/>
        </w:rPr>
        <w:t xml:space="preserve">[System owner]</w:t>
      </w:r>
      <w:r>
        <w:t xml:space="preserve"> </w:t>
      </w:r>
      <w:r>
        <w:t xml:space="preserve">shall test sanitization equipment</w:t>
      </w:r>
      <w:r>
        <w:t xml:space="preserve"> </w:t>
      </w:r>
      <w:r>
        <w:rPr>
          <w:rStyle w:val="Fill-in"/>
        </w:rPr>
        <w:t xml:space="preserve">[Fill in: frequency with which to test sanitization equipment. Typical: at least annually, and after the equipment is repaired, relocated or updated]</w:t>
      </w:r>
      <w:r>
        <w:t xml:space="preserve"> </w:t>
      </w:r>
      <w:r>
        <w:t xml:space="preserve">to ensure that the intended sanitization is being achieved. (MP-6(2))</w:t>
      </w:r>
    </w:p>
    <w:p>
      <w:pPr>
        <w:pStyle w:val="Compact"/>
        <w:numPr>
          <w:ilvl w:val="0"/>
          <w:numId w:val="1014"/>
        </w:numPr>
      </w:pPr>
      <w:r>
        <w:t xml:space="preserve">The</w:t>
      </w:r>
      <w:r>
        <w:t xml:space="preserve"> </w:t>
      </w:r>
      <w:r>
        <w:rPr>
          <w:rStyle w:val="Fill-in"/>
        </w:rPr>
        <w:t xml:space="preserve">[System owner]</w:t>
      </w:r>
      <w:r>
        <w:t xml:space="preserve"> </w:t>
      </w:r>
      <w:r>
        <w:t xml:space="preserve">shall test sanitization procedures</w:t>
      </w:r>
      <w:r>
        <w:t xml:space="preserve"> </w:t>
      </w:r>
      <w:r>
        <w:rPr>
          <w:rStyle w:val="Fill-in"/>
        </w:rPr>
        <w:t xml:space="preserve">[Fill in: frequency with which to test sanitization procedures. Typical: at least annually, and when a new media type, tool or sanitization provider is introduced]</w:t>
      </w:r>
      <w:r>
        <w:t xml:space="preserve"> </w:t>
      </w:r>
      <w:r>
        <w:t xml:space="preserve">to ensure that the intended sanitization is being achieved. (MP-6(2))</w:t>
      </w:r>
    </w:p>
    <w:p>
      <w:pPr>
        <w:pStyle w:val="Compact"/>
        <w:numPr>
          <w:ilvl w:val="0"/>
          <w:numId w:val="1014"/>
        </w:numPr>
      </w:pPr>
      <w:r>
        <w:t xml:space="preserve">Equipment that fails a test shall not be used until it is repaired and passes a new test, and media sanitized with it since its last passing test shall be sanitized again. (MP-6(2))</w:t>
      </w:r>
    </w:p>
    <w:p>
      <w:pPr>
        <w:pStyle w:val="Compact"/>
        <w:numPr>
          <w:ilvl w:val="0"/>
          <w:numId w:val="1014"/>
        </w:numPr>
      </w:pPr>
      <w:r>
        <w:t xml:space="preserve">Where an external provider performs sanitization, the contract shall require the provider to test its equipment and procedures at least as often, and to provide the results. (MP-6(2))</w:t>
      </w:r>
    </w:p>
    <w:bookmarkEnd w:id="32"/>
    <w:bookmarkStart w:id="33" w:name="nondestructive-techniques-mp-63"/>
    <w:p>
      <w:pPr>
        <w:pStyle w:val="Heading3"/>
      </w:pPr>
      <w:r>
        <w:t xml:space="preserve">Nondestructive techniques (MP-6(3))</w:t>
      </w:r>
    </w:p>
    <w:p>
      <w:pPr>
        <w:pStyle w:val="Compact"/>
        <w:numPr>
          <w:ilvl w:val="0"/>
          <w:numId w:val="1015"/>
        </w:numPr>
      </w:pPr>
      <w:r>
        <w:t xml:space="preserve">The</w:t>
      </w:r>
      <w:r>
        <w:t xml:space="preserve"> </w:t>
      </w:r>
      <w:r>
        <w:rPr>
          <w:rStyle w:val="Fill-in"/>
        </w:rPr>
        <w:t xml:space="preserve">[System owner]</w:t>
      </w:r>
      <w:r>
        <w:t xml:space="preserve"> </w:t>
      </w:r>
      <w:r>
        <w:t xml:space="preserve">shall apply nondestructive sanitization techniques to portable storage devices prior to connecting them to the system under the following circumstances:</w:t>
      </w:r>
      <w:r>
        <w:t xml:space="preserve"> </w:t>
      </w:r>
      <w:r>
        <w:rPr>
          <w:rStyle w:val="Fill-in"/>
        </w:rPr>
        <w:t xml:space="preserve">[Fill in: circumstances requiring sanitization of portable storage devices. Typical: before first use of a device newly purchased or received from outside the organization, and whenever the organization cannot maintain a positive chain of custody for the device]</w:t>
      </w:r>
      <w:r>
        <w:t xml:space="preserve">. (MP-6(3))</w:t>
      </w:r>
    </w:p>
    <w:p>
      <w:pPr>
        <w:pStyle w:val="Compact"/>
        <w:numPr>
          <w:ilvl w:val="0"/>
          <w:numId w:val="1015"/>
        </w:numPr>
      </w:pPr>
      <w:r>
        <w:t xml:space="preserve">Portable storage devices shall also be scanned for malicious code before they are connected to the system (SI-3). (MP-6(3))</w:t>
      </w:r>
    </w:p>
    <w:bookmarkEnd w:id="33"/>
    <w:bookmarkStart w:id="34" w:name="media-use-mp-7"/>
    <w:p>
      <w:pPr>
        <w:pStyle w:val="Heading3"/>
      </w:pPr>
      <w:r>
        <w:t xml:space="preserve">Media use (MP-7)</w:t>
      </w:r>
    </w:p>
    <w:p>
      <w:pPr>
        <w:pStyle w:val="Compact"/>
        <w:numPr>
          <w:ilvl w:val="0"/>
          <w:numId w:val="1016"/>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16"/>
        </w:numPr>
      </w:pPr>
      <w:r>
        <w:t xml:space="preserve">Personally owned portable storage devices shall not be connected to organizational systems. (MP-7a)</w:t>
      </w:r>
    </w:p>
    <w:p>
      <w:pPr>
        <w:pStyle w:val="Compact"/>
        <w:numPr>
          <w:ilvl w:val="0"/>
          <w:numId w:val="1016"/>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16"/>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34"/>
    <w:bookmarkEnd w:id="35"/>
    <w:bookmarkStart w:id="39"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17"/>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38"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6">
        <w:r>
          <w:rPr>
            <w:rStyle w:val="Hyperlink"/>
          </w:rPr>
          <w:t xml:space="preserve">44 U.S.C. § 3554</w:t>
        </w:r>
      </w:hyperlink>
      <w:r>
        <w:t xml:space="preserve">, Federal agency responsibilities) and</w:t>
      </w:r>
      <w:r>
        <w:t xml:space="preserve"> </w:t>
      </w:r>
      <w:hyperlink r:id="rId37">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(MP-1a.1(b))</w:t>
      </w:r>
    </w:p>
    <w:bookmarkEnd w:id="38"/>
    <w:bookmarkEnd w:id="39"/>
    <w:bookmarkEnd w:id="4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23" Target="https://www.ecfr.gov/current/title-32/section-2002.14" TargetMode="External" /><Relationship Type="http://schemas.openxmlformats.org/officeDocument/2006/relationships/hyperlink" Id="rId20" Target="https://www.ecfr.gov/current/title-32/section-2002.20" TargetMode="External" /><Relationship Type="http://schemas.openxmlformats.org/officeDocument/2006/relationships/hyperlink" Id="rId3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36" Target="https://uscode.house.gov/view.xhtml?req=granuleid:USC-prelim-title44-section3554&amp;num=0&amp;edition=prelim" TargetMode="External" /><Relationship Type="http://schemas.openxmlformats.org/officeDocument/2006/relationships/hyperlink" Id="rId23" Target="https://www.ecfr.gov/current/title-32/section-2002.14" TargetMode="External" /><Relationship Type="http://schemas.openxmlformats.org/officeDocument/2006/relationships/hyperlink" Id="rId20" Target="https://www.ecfr.gov/current/title-32/section-2002.20" TargetMode="External" /><Relationship Type="http://schemas.openxmlformats.org/officeDocument/2006/relationships/hyperlink" Id="rId3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