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media-protection-policy"/>
    <w:p>
      <w:pPr>
        <w:pStyle w:val="Heading1"/>
      </w:pPr>
      <w:r>
        <w:t xml:space="preserve">Media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https://kston83.github.io/nist-guide/templates/policies/mp/</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MP-1,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MP-1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Media Protection, and who is accountable for meeting those requirements. (MP-1a.1(a))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(MP-1a.1(a))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(MP-1a.1(a))</w:t>
      </w:r>
    </w:p>
    <w:p>
      <w:pPr>
        <w:pStyle w:val="Compact"/>
        <w:numPr>
          <w:ilvl w:val="0"/>
          <w:numId w:val="1001"/>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manage the development, documentation and dissemination of this policy and its procedures. (MP-1b)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(MP-1a.1(a))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(MP-1a.1(a))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(MP-1a.1(a))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(MP-1a.1(a))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(MP-1a.1(b))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(MP-1a.1(a))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(MP-1a.1(a))</w:t>
      </w:r>
    </w:p>
    <w:p>
      <w:pPr>
        <w:pStyle w:val="Compact"/>
        <w:numPr>
          <w:ilvl w:val="0"/>
          <w:numId w:val="1002"/>
        </w:numPr>
      </w:pPr>
      <w:r>
        <w:t xml:space="preserve">Violations of this policy shall be handled through the organization’s sanctions process. (MP-1a.1(a))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ensure that documented procedures exist to implement this policy and its associated controls. (MP-1a.2)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media protection policy is to be disseminated. Typical: everyone within its scope, through the policy library]</w:t>
      </w:r>
      <w:r>
        <w:t xml:space="preserve">. (MP-1a)</w:t>
      </w:r>
    </w:p>
    <w:p>
      <w:pPr>
        <w:pStyle w:val="Compact"/>
        <w:numPr>
          <w:ilvl w:val="0"/>
          <w:numId w:val="1003"/>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media protection procedures are to be disseminated. Typical: the people who carry them out, and the system owners]</w:t>
      </w:r>
      <w:r>
        <w:t xml:space="preserve">. (MP-1a)</w:t>
      </w:r>
    </w:p>
    <w:bookmarkEnd w:id="18"/>
    <w:bookmarkStart w:id="29"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0" w:name="media-access-mp-2"/>
    <w:p>
      <w:pPr>
        <w:pStyle w:val="Heading3"/>
      </w:pPr>
      <w:r>
        <w:t xml:space="preserve">Media access (MP-2)</w:t>
      </w:r>
    </w:p>
    <w:p>
      <w:pPr>
        <w:pStyle w:val="Guidance"/>
      </w:pPr>
      <w:r>
        <w:t xml:space="preserve">MP-2 restricts who may access media; MP-7 restricts which media may be used on systems, a distinction NIST’s MP-7 discussion draws. NIST’s MP-2 discussion covers digital media (flash drives, tapes, external drives, optical discs) and non-digital media (paper and microfilm). The usual way to restrict access is to keep media where only authorized people can reach them (MP-4) and to encrypt digital media so that only holders of the key can read them, as the</w:t>
      </w:r>
      <w:r>
        <w:t xml:space="preserve"> </w:t>
      </w:r>
      <w:hyperlink r:id="rId19">
        <w:r>
          <w:rPr>
            <w:rStyle w:val="Hyperlink"/>
          </w:rPr>
          <w:t xml:space="preserve">encryption and key management standard</w:t>
        </w:r>
      </w:hyperlink>
      <w:r>
        <w:t xml:space="preserve"> </w:t>
      </w:r>
      <w:r>
        <w:t xml:space="preserve">requires for removable media (SC-28(1)). Assessors ask who can get into the media library or cabinets, and compare that list with the people authorized for the information.</w:t>
      </w:r>
    </w:p>
    <w:p>
      <w:pPr>
        <w:pStyle w:val="Compact"/>
        <w:numPr>
          <w:ilvl w:val="0"/>
          <w:numId w:val="1004"/>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digital media to which access is restricted. Typical: removable and portable storage media (flash drives, external drives, memory cards and optical discs), backup media, and storage removed from service]</w:t>
      </w:r>
      <w:r>
        <w:t xml:space="preserve"> </w:t>
      </w:r>
      <w:r>
        <w:t xml:space="preserve">to</w:t>
      </w:r>
      <w:r>
        <w:t xml:space="preserve"> </w:t>
      </w:r>
      <w:r>
        <w:rPr>
          <w:rStyle w:val="Fill-in"/>
        </w:rPr>
        <w:t xml:space="preserve">[Fill in: personnel or roles authorized to access digital media. Typical: personnel whose access authorizations for the system permit access to the information on the media]</w:t>
      </w:r>
      <w:r>
        <w:t xml:space="preserve">. (MP-2)</w:t>
      </w:r>
    </w:p>
    <w:p>
      <w:pPr>
        <w:pStyle w:val="Compact"/>
        <w:numPr>
          <w:ilvl w:val="0"/>
          <w:numId w:val="1004"/>
        </w:numPr>
      </w:pPr>
      <w:r>
        <w:t xml:space="preserve">The</w:t>
      </w:r>
      <w:r>
        <w:t xml:space="preserve"> </w:t>
      </w:r>
      <w:r>
        <w:rPr>
          <w:rStyle w:val="Fill-in"/>
        </w:rPr>
        <w:t xml:space="preserve">[System owner]</w:t>
      </w:r>
      <w:r>
        <w:t xml:space="preserve"> </w:t>
      </w:r>
      <w:r>
        <w:t xml:space="preserve">shall restrict access to</w:t>
      </w:r>
      <w:r>
        <w:t xml:space="preserve"> </w:t>
      </w:r>
      <w:r>
        <w:rPr>
          <w:rStyle w:val="Fill-in"/>
        </w:rPr>
        <w:t xml:space="preserve">[Fill in: types of non-digital media to which access is restricted. Typical: paper and microfilm containing information not approved for public release, including printed system output]</w:t>
      </w:r>
      <w:r>
        <w:t xml:space="preserve"> </w:t>
      </w:r>
      <w:r>
        <w:t xml:space="preserve">to</w:t>
      </w:r>
      <w:r>
        <w:t xml:space="preserve"> </w:t>
      </w:r>
      <w:r>
        <w:rPr>
          <w:rStyle w:val="Fill-in"/>
        </w:rPr>
        <w:t xml:space="preserve">[Fill in: personnel or roles authorized to access non-digital media. Typical: personnel whose access authorizations permit access to the information on the media]</w:t>
      </w:r>
      <w:r>
        <w:t xml:space="preserve">. (MP-2)</w:t>
      </w:r>
    </w:p>
    <w:p>
      <w:pPr>
        <w:pStyle w:val="Compact"/>
        <w:numPr>
          <w:ilvl w:val="0"/>
          <w:numId w:val="1004"/>
        </w:numPr>
      </w:pPr>
      <w:r>
        <w:t xml:space="preserve">The</w:t>
      </w:r>
      <w:r>
        <w:t xml:space="preserve"> </w:t>
      </w:r>
      <w:r>
        <w:rPr>
          <w:rStyle w:val="Fill-in"/>
        </w:rPr>
        <w:t xml:space="preserve">[System owner]</w:t>
      </w:r>
      <w:r>
        <w:t xml:space="preserve"> </w:t>
      </w:r>
      <w:r>
        <w:t xml:space="preserve">shall enforce these restrictions by storing the media in controlled areas (MP-4) and, for digital media, by encryption whose keys only authorized personnel can use (SC-28(1)). (MP-2)</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list of people with access to each media library or storage area at least annually, and remove those who no longer need it. (MP-2)</w:t>
      </w:r>
    </w:p>
    <w:bookmarkEnd w:id="20"/>
    <w:bookmarkStart w:id="26" w:name="media-sanitization-mp-6"/>
    <w:p>
      <w:pPr>
        <w:pStyle w:val="Heading3"/>
      </w:pPr>
      <w:r>
        <w:t xml:space="preserve">Media sanitization (MP-6)</w:t>
      </w:r>
    </w:p>
    <w:p>
      <w:pPr>
        <w:pStyle w:val="Guidance"/>
      </w:pPr>
      <w:r>
        <w:t xml:space="preserve">NIST’s MP-6 discussion applies sanitization to all digital and non-digital media subject to disposal or reuse, removable or not, and names the storage in scanners, copiers, printers, notebook computers, workstations, network components and mobile devices.</w:t>
      </w:r>
      <w:r>
        <w:t xml:space="preserve"> </w:t>
      </w:r>
      <w:hyperlink r:id="rId21">
        <w:r>
          <w:rPr>
            <w:rStyle w:val="Hyperlink"/>
          </w:rPr>
          <w:t xml:space="preserve">NIST SP 800-88 Rev. 2</w:t>
        </w:r>
      </w:hyperlink>
      <w:r>
        <w:t xml:space="preserve">, Guidelines for Media Sanitization (September 2025, final; as of October 2026), defines three methods: clear (logical techniques against simple, non-invasive recovery), purge (recovery infeasible with state-of-the-art laboratory techniques, media possibly reusable) and destroy (recovery infeasible and the media unusable). It says purge should be used instead of clear when possible, and that the decision rests on the confidentiality of the information rather than the type of media; it points to the IEEE 2883 series for technique by media type. For cloud and other virtual storage, it notes that cryptographic erase may be the only purge option. It also advises against shredding or pulverizing storage devices for anything but the lowest security categories, since denser, harder media can survive them; paper can be shredded.</w:t>
      </w:r>
    </w:p>
    <w:p>
      <w:pPr>
        <w:pStyle w:val="Guidance"/>
      </w:pPr>
      <w:r>
        <w:t xml:space="preserve">The media sanitization procedure named below is the organization’s: a table of the media types in use with the method, technique, tool and verification for each, which the</w:t>
      </w:r>
      <w:r>
        <w:t xml:space="preserve"> </w:t>
      </w:r>
      <w:hyperlink r:id="rId22">
        <w:r>
          <w:rPr>
            <w:rStyle w:val="Hyperlink"/>
          </w:rPr>
          <w:t xml:space="preserve">media sanitization record</w:t>
        </w:r>
      </w:hyperlink>
      <w:r>
        <w:t xml:space="preserve"> </w:t>
      </w:r>
      <w:r>
        <w:t xml:space="preserve">provides. SP 800-88 Rev. 2 section 4.6 recommends a certificate of sanitization for each item, and the record’s register holds those details. Keep the values consistent with the</w:t>
      </w:r>
      <w:r>
        <w:t xml:space="preserve"> </w:t>
      </w:r>
      <w:hyperlink r:id="rId23">
        <w:r>
          <w:rPr>
            <w:rStyle w:val="Hyperlink"/>
          </w:rPr>
          <w:t xml:space="preserve">Maintenance policy</w:t>
        </w:r>
      </w:hyperlink>
      <w:r>
        <w:t xml:space="preserve">: equipment leaving for repair is sanitized first (MA-2d), and media that cannot be sanitized, such as a failed drive, stay with the organization.</w:t>
      </w:r>
    </w:p>
    <w:p>
      <w:pPr>
        <w:pStyle w:val="Compact"/>
        <w:numPr>
          <w:ilvl w:val="0"/>
          <w:numId w:val="1005"/>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disposal. Typical: all digital and non-digital system media, including the storage in workstations, laptops, servers, network devices, mobile devices, printers, copiers and scanners]</w:t>
      </w:r>
      <w:r>
        <w:t xml:space="preserve"> </w:t>
      </w:r>
      <w:r>
        <w:t xml:space="preserve">prior to disposal using</w:t>
      </w:r>
      <w:r>
        <w:t xml:space="preserve"> </w:t>
      </w:r>
      <w:r>
        <w:rPr>
          <w:rStyle w:val="Fill-in"/>
        </w:rPr>
        <w:t xml:space="preserve">[Fill in: sanitization techniques and procedures to be used for sanitization prior to disposal. Typical: purge or destroy for digital media, and destruction by shredding or incineration for paper and other hard copy, as the media sanitization procedure sets out following NIST SP 800-88 Rev. 2]</w:t>
      </w:r>
      <w:r>
        <w:t xml:space="preserve">. (MP-6a)</w:t>
      </w:r>
    </w:p>
    <w:p>
      <w:pPr>
        <w:pStyle w:val="Compact"/>
        <w:numPr>
          <w:ilvl w:val="0"/>
          <w:numId w:val="1005"/>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from organizational control. Typical: all digital and non-digital system media, including media returned to a lessor or vendor, exchanged under warranty, or sent off site for repair]</w:t>
      </w:r>
      <w:r>
        <w:t xml:space="preserve"> </w:t>
      </w:r>
      <w:r>
        <w:t xml:space="preserve">prior to release out of organizational control using</w:t>
      </w:r>
      <w:r>
        <w:t xml:space="preserve"> </w:t>
      </w:r>
      <w:r>
        <w:rPr>
          <w:rStyle w:val="Fill-in"/>
        </w:rPr>
        <w:t xml:space="preserve">[Fill in: sanitization techniques and procedures to be used for sanitization prior to release from organizational control. Typical: purge, including cryptographic erase where its conditions are met, as the media sanitization procedure sets out following NIST SP 800-88 Rev. 2; media that cannot be purged and verified are destroyed, not released]</w:t>
      </w:r>
      <w:r>
        <w:t xml:space="preserve">. (MP-6a)</w:t>
      </w:r>
    </w:p>
    <w:p>
      <w:pPr>
        <w:pStyle w:val="Compact"/>
        <w:numPr>
          <w:ilvl w:val="0"/>
          <w:numId w:val="1005"/>
        </w:numPr>
      </w:pPr>
      <w:r>
        <w:t xml:space="preserve">The</w:t>
      </w:r>
      <w:r>
        <w:t xml:space="preserve"> </w:t>
      </w:r>
      <w:r>
        <w:rPr>
          <w:rStyle w:val="Fill-in"/>
        </w:rPr>
        <w:t xml:space="preserve">[System owner]</w:t>
      </w:r>
      <w:r>
        <w:t xml:space="preserve"> </w:t>
      </w:r>
      <w:r>
        <w:t xml:space="preserve">shall sanitize</w:t>
      </w:r>
      <w:r>
        <w:t xml:space="preserve"> </w:t>
      </w:r>
      <w:r>
        <w:rPr>
          <w:rStyle w:val="Fill-in"/>
        </w:rPr>
        <w:t xml:space="preserve">[Fill in: system media to be sanitized prior to release for reuse. Typical: all digital system media reissued to another user, system or part of the organization]</w:t>
      </w:r>
      <w:r>
        <w:t xml:space="preserve"> </w:t>
      </w:r>
      <w:r>
        <w:t xml:space="preserve">prior to release for reuse using</w:t>
      </w:r>
      <w:r>
        <w:t xml:space="preserve"> </w:t>
      </w:r>
      <w:r>
        <w:rPr>
          <w:rStyle w:val="Fill-in"/>
        </w:rPr>
        <w:t xml:space="preserve">[Fill in: sanitization techniques and procedures to be used for sanitization prior to release for reuse. Typical: clear for reuse within the same system or by users with the same access authorizations, and purge for other reuse, as the media sanitization procedure sets out following NIST SP 800-88 Rev. 2]</w:t>
      </w:r>
      <w:r>
        <w:t xml:space="preserve">. (MP-6a)</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maintain a media sanitization procedure that follows NIST SP 800-88 Rev. 2 and names, for each media type in use, the sanitization method (clear, purge or destroy), the technique and tool, and how the result is verified. (MP-6a)</w:t>
      </w:r>
    </w:p>
    <w:p>
      <w:pPr>
        <w:pStyle w:val="Compact"/>
        <w:numPr>
          <w:ilvl w:val="0"/>
          <w:numId w:val="1005"/>
        </w:numPr>
      </w:pPr>
      <w:r>
        <w:t xml:space="preserve">Before media are sanitized, the</w:t>
      </w:r>
      <w:r>
        <w:t xml:space="preserve"> </w:t>
      </w:r>
      <w:r>
        <w:rPr>
          <w:rStyle w:val="Fill-in"/>
        </w:rPr>
        <w:t xml:space="preserve">[System owner]</w:t>
      </w:r>
      <w:r>
        <w:t xml:space="preserve"> </w:t>
      </w:r>
      <w:r>
        <w:t xml:space="preserve">shall confirm that the information on them is not subject to a records retention requirement or legal hold that has not yet been met (SI-12). (MP-6a)</w:t>
      </w:r>
    </w:p>
    <w:p>
      <w:pPr>
        <w:pStyle w:val="Compact"/>
        <w:numPr>
          <w:ilvl w:val="0"/>
          <w:numId w:val="1005"/>
        </w:numPr>
      </w:pPr>
      <w:r>
        <w:t xml:space="preserve">Storage media that cannot be sanitized by the method the procedure requires, including failed drives, shall be kept within the organization and destroyed, and shall not be released out of organizational control. (MP-6a)</w:t>
      </w:r>
    </w:p>
    <w:p>
      <w:pPr>
        <w:pStyle w:val="Compact"/>
        <w:numPr>
          <w:ilvl w:val="0"/>
          <w:numId w:val="1005"/>
        </w:numPr>
      </w:pPr>
      <w:r>
        <w:t xml:space="preserve">Each sanitization shall be verified and recorded in the media sanitization record, including the media’s identifiers, the method and technique, who performed and verified it, and the date. (MP-6a)</w:t>
      </w:r>
    </w:p>
    <w:p>
      <w:pPr>
        <w:pStyle w:val="Compact"/>
        <w:numPr>
          <w:ilvl w:val="0"/>
          <w:numId w:val="1005"/>
        </w:numPr>
      </w:pPr>
      <w:r>
        <w:t xml:space="preserve">Where an external provider sanitizes or destroys media, its contract shall specify the method, require a certificate listing each item by serial number, and allow the organization to witness or verify the work. (MP-6a)</w:t>
      </w:r>
    </w:p>
    <w:p>
      <w:pPr>
        <w:pStyle w:val="Compact"/>
        <w:numPr>
          <w:ilvl w:val="0"/>
          <w:numId w:val="1005"/>
        </w:numPr>
      </w:pPr>
      <w:r>
        <w:t xml:space="preserve">The</w:t>
      </w:r>
      <w:r>
        <w:t xml:space="preserve"> </w:t>
      </w:r>
      <w:r>
        <w:rPr>
          <w:rStyle w:val="Fill-in"/>
        </w:rPr>
        <w:t xml:space="preserve">[System owner]</w:t>
      </w:r>
      <w:r>
        <w:t xml:space="preserve"> </w:t>
      </w:r>
      <w:r>
        <w:t xml:space="preserve">shall employ sanitization mechanisms whose strength and integrity are commensurate with the security category of the information, choosing the method by the confidentiality of the information as NIST SP 800-88 Rev. 2 describes. (MP-6b)</w:t>
      </w:r>
    </w:p>
    <w:p>
      <w:pPr>
        <w:pStyle w:val="Compact"/>
        <w:numPr>
          <w:ilvl w:val="0"/>
          <w:numId w:val="1005"/>
        </w:numPr>
      </w:pPr>
      <w:r>
        <w:t xml:space="preserve">Clear shall be used only for media that remain under organizational control, and then only for reuse within the same system or by users with the same access authorizations, for low-impact information, or for moderate-impact information where the</w:t>
      </w:r>
      <w:r>
        <w:t xml:space="preserve"> </w:t>
      </w:r>
      <w:r>
        <w:rPr>
          <w:rStyle w:val="Fill-in"/>
        </w:rPr>
        <w:t xml:space="preserve">[System owner]</w:t>
      </w:r>
      <w:r>
        <w:t xml:space="preserve"> </w:t>
      </w:r>
      <w:r>
        <w:t xml:space="preserve">has accepted the residual risk in writing. (MP-6b)</w:t>
      </w:r>
    </w:p>
    <w:p>
      <w:pPr>
        <w:pStyle w:val="Compact"/>
        <w:numPr>
          <w:ilvl w:val="0"/>
          <w:numId w:val="1005"/>
        </w:numPr>
      </w:pPr>
      <w:r>
        <w:t xml:space="preserve">Storage devices holding moderate- or high-impact information shall be destroyed by disintegration, incineration or melting, or purged first, rather than only shredded or pulverized. (MP-6b)</w:t>
      </w:r>
    </w:p>
    <w:p>
      <w:pPr>
        <w:pStyle w:val="Compact"/>
        <w:numPr>
          <w:ilvl w:val="0"/>
          <w:numId w:val="1005"/>
        </w:numPr>
      </w:pPr>
      <w:r>
        <w:t xml:space="preserve">Cryptographic erase shall be used only where the media’s encryption and key management meet the conditions in NIST SP 800-88 Rev. 2 section 3.2, and the keys are managed under the encryption and key management standard (SC-12). (MP-6b)</w:t>
      </w:r>
    </w:p>
    <w:bookmarkStart w:id="25" w:name="federal-systems"/>
    <w:p>
      <w:pPr>
        <w:pStyle w:val="Heading4"/>
      </w:pPr>
      <w:r>
        <w:t xml:space="preserve">Federal systems</w:t>
      </w:r>
    </w:p>
    <w:p>
      <w:pPr>
        <w:pStyle w:val="FirstParagraph"/>
      </w:pPr>
      <w:r>
        <w:t xml:space="preserve">Under</w:t>
      </w:r>
      <w:r>
        <w:t xml:space="preserve"> </w:t>
      </w:r>
      <w:hyperlink r:id="rId24">
        <w:r>
          <w:rPr>
            <w:rStyle w:val="Hyperlink"/>
          </w:rPr>
          <w:t xml:space="preserve">32 CFR 2002.14(f)</w:t>
        </w:r>
      </w:hyperlink>
      <w:r>
        <w:t xml:space="preserve">, authorized holders may destroy controlled unclassified information (CUI) when the agency no longer needs it and records disposition schedules published or approved by NARA allow. Agencies destroying CUI, including in electronic form, must make it unreadable, indecipherable and irrecoverable, using any destruction method specifically required by law, regulation or Government-wide policy for that CUI; otherwise, the destruction guidance in NIST SP 800-53 and SP 800-88, or a method approved for classified national security information under 32 CFR 2001.47. Under 2002.14(e)(2), when CUI is reproduced on printers, copiers, scanners or fax machines, the equipment must not retain data, or the agency must sanitize it in accordance with NIST SP 800-53.</w:t>
      </w:r>
      <w:r>
        <w:t xml:space="preserve"> </w:t>
      </w:r>
      <w:hyperlink r:id="rId21">
        <w:r>
          <w:rPr>
            <w:rStyle w:val="Hyperlink"/>
          </w:rPr>
          <w:t xml:space="preserve">NIST SP 800-88 Rev. 2</w:t>
        </w:r>
      </w:hyperlink>
      <w:r>
        <w:t xml:space="preserve">, section 3.2, states that federal agencies must use encryption modules validated to the current FIPS 140 standard to have assurance in cryptographic erase on self-encrypting drives. As of October 2026.</w:t>
      </w:r>
    </w:p>
    <w:p>
      <w:pPr>
        <w:pStyle w:val="Compact"/>
        <w:numPr>
          <w:ilvl w:val="0"/>
          <w:numId w:val="1006"/>
        </w:numPr>
      </w:pPr>
      <w:r>
        <w:t xml:space="preserve">The</w:t>
      </w:r>
      <w:r>
        <w:t xml:space="preserve"> </w:t>
      </w:r>
      <w:r>
        <w:rPr>
          <w:rStyle w:val="Fill-in"/>
        </w:rPr>
        <w:t xml:space="preserve">[System owner]</w:t>
      </w:r>
      <w:r>
        <w:t xml:space="preserve"> </w:t>
      </w:r>
      <w:r>
        <w:t xml:space="preserve">shall destroy CUI only when the agency no longer needs it and NARA-approved records disposition schedules allow, and only by a method that 32 CFR 2002.14(f)(2) permits. (MP-6a)</w:t>
      </w:r>
    </w:p>
    <w:p>
      <w:pPr>
        <w:pStyle w:val="Compact"/>
        <w:numPr>
          <w:ilvl w:val="0"/>
          <w:numId w:val="1006"/>
        </w:numPr>
      </w:pPr>
      <w:r>
        <w:t xml:space="preserve">The</w:t>
      </w:r>
      <w:r>
        <w:t xml:space="preserve"> </w:t>
      </w:r>
      <w:r>
        <w:rPr>
          <w:rStyle w:val="Fill-in"/>
        </w:rPr>
        <w:t xml:space="preserve">[System owner]</w:t>
      </w:r>
      <w:r>
        <w:t xml:space="preserve"> </w:t>
      </w:r>
      <w:r>
        <w:t xml:space="preserve">shall ensure printers, copiers, scanners and fax machines used to reproduce CUI do not retain data, or are sanitized in accordance with NIST SP 800-53, as 32 CFR 2002.14(e)(2) requires. (MP-6a)</w:t>
      </w:r>
    </w:p>
    <w:p>
      <w:pPr>
        <w:pStyle w:val="Compact"/>
        <w:numPr>
          <w:ilvl w:val="0"/>
          <w:numId w:val="1006"/>
        </w:numPr>
      </w:pPr>
      <w:r>
        <w:t xml:space="preserve">Cryptographic erase shall rely only on encryption modules validated to the current FIPS 140 standard. (MP-6b)</w:t>
      </w:r>
    </w:p>
    <w:bookmarkEnd w:id="25"/>
    <w:bookmarkEnd w:id="26"/>
    <w:bookmarkStart w:id="28" w:name="media-use-mp-7"/>
    <w:p>
      <w:pPr>
        <w:pStyle w:val="Heading3"/>
      </w:pPr>
      <w:r>
        <w:t xml:space="preserve">Media use (MP-7)</w:t>
      </w:r>
    </w:p>
    <w:p>
      <w:pPr>
        <w:pStyle w:val="Guidance"/>
      </w:pPr>
      <w:r>
        <w:t xml:space="preserve">NIST’s MP-7 discussion contrasts it with MP-2: MP-2 restricts who may access media, while MP-7 restricts which media may be used on systems. It lists the usual technical controls: disabling ports or the ability to read or write to devices, limiting use to approved, organization-provided devices that are not personally owned, and blocking writes to portable devices. Requiring an identifiable owner, MP-7b, lets the organization assign responsibility for a device’s known vulnerabilities. The typical values match the</w:t>
      </w:r>
      <w:r>
        <w:t xml:space="preserve"> </w:t>
      </w:r>
      <w:hyperlink r:id="rId27">
        <w:r>
          <w:rPr>
            <w:rStyle w:val="Hyperlink"/>
          </w:rPr>
          <w:t xml:space="preserve">Access Control Policy</w:t>
        </w:r>
      </w:hyperlink>
      <w:r>
        <w:t xml:space="preserve">, which allows only encrypted, organization-issued devices on external systems (AC-20(2)), and the encryption and key management standard, which requires encryption of removable media (SC-28(1)). Choose</w:t>
      </w:r>
      <w:r>
        <w:t xml:space="preserve"> </w:t>
      </w:r>
      <w:r>
        <w:t xml:space="preserve">“prohibit”</w:t>
      </w:r>
      <w:r>
        <w:t xml:space="preserve"> </w:t>
      </w:r>
      <w:r>
        <w:t xml:space="preserve">for systems whose risk does not justify any portable storage.</w:t>
      </w:r>
    </w:p>
    <w:p>
      <w:pPr>
        <w:pStyle w:val="Compact"/>
        <w:numPr>
          <w:ilvl w:val="0"/>
          <w:numId w:val="1007"/>
        </w:numPr>
      </w:pPr>
      <w:r>
        <w:t xml:space="preserve">The</w:t>
      </w:r>
      <w:r>
        <w:t xml:space="preserve"> </w:t>
      </w:r>
      <w:r>
        <w:rPr>
          <w:rStyle w:val="Fill-in"/>
        </w:rPr>
        <w:t xml:space="preserve">[System owner]</w:t>
      </w:r>
      <w:r>
        <w:t xml:space="preserve"> </w:t>
      </w:r>
      <w:r>
        <w:t xml:space="preserve">shall</w:t>
      </w:r>
      <w:r>
        <w:t xml:space="preserve"> </w:t>
      </w:r>
      <w:r>
        <w:rPr>
          <w:rStyle w:val="Fill-in"/>
        </w:rPr>
        <w:t xml:space="preserve">[Select one: restrict; prohibit. Typical: restrict]</w:t>
      </w:r>
      <w:r>
        <w:t xml:space="preserve"> </w:t>
      </w:r>
      <w:r>
        <w:t xml:space="preserve">the use of</w:t>
      </w:r>
      <w:r>
        <w:t xml:space="preserve"> </w:t>
      </w:r>
      <w:r>
        <w:rPr>
          <w:rStyle w:val="Fill-in"/>
        </w:rPr>
        <w:t xml:space="preserve">[Fill in: types of system media to be restricted or prohibited from use on systems or system components. Typical: writable portable storage devices, such as USB flash drives, external hard drives and memory cards, and writable optical media]</w:t>
      </w:r>
      <w:r>
        <w:t xml:space="preserve"> </w:t>
      </w:r>
      <w:r>
        <w:t xml:space="preserve">on</w:t>
      </w:r>
      <w:r>
        <w:t xml:space="preserve"> </w:t>
      </w:r>
      <w:r>
        <w:rPr>
          <w:rStyle w:val="Fill-in"/>
        </w:rPr>
        <w:t xml:space="preserve">[Fill in: systems or system components on which the use of specific types of system media to be restricted or prohibited. Typical: all organizational workstations, laptops and servers]</w:t>
      </w:r>
      <w:r>
        <w:t xml:space="preserve"> </w:t>
      </w:r>
      <w:r>
        <w:t xml:space="preserve">using</w:t>
      </w:r>
      <w:r>
        <w:t xml:space="preserve"> </w:t>
      </w:r>
      <w:r>
        <w:rPr>
          <w:rStyle w:val="Fill-in"/>
        </w:rPr>
        <w:t xml:space="preserve">[Fill in: controls to restrict or prohibit the use of specific types of system media on systems or system components. Typical: endpoint device control that blocks portable storage devices other than encrypted, organization-issued devices assigned to a named owner, with exceptions approved by the system owner and recorded]</w:t>
      </w:r>
      <w:r>
        <w:t xml:space="preserve">. (MP-7a)</w:t>
      </w:r>
    </w:p>
    <w:p>
      <w:pPr>
        <w:pStyle w:val="Compact"/>
        <w:numPr>
          <w:ilvl w:val="0"/>
          <w:numId w:val="1007"/>
        </w:numPr>
      </w:pPr>
      <w:r>
        <w:t xml:space="preserve">Personally owned portable storage devices shall not be connected to organizational systems. (MP-7a)</w:t>
      </w:r>
    </w:p>
    <w:p>
      <w:pPr>
        <w:pStyle w:val="Compact"/>
        <w:numPr>
          <w:ilvl w:val="0"/>
          <w:numId w:val="1007"/>
        </w:numPr>
      </w:pPr>
      <w:r>
        <w:t xml:space="preserve">The</w:t>
      </w:r>
      <w:r>
        <w:t xml:space="preserve"> </w:t>
      </w:r>
      <w:r>
        <w:rPr>
          <w:rStyle w:val="Fill-in"/>
        </w:rPr>
        <w:t xml:space="preserve">[System owner]</w:t>
      </w:r>
      <w:r>
        <w:t xml:space="preserve"> </w:t>
      </w:r>
      <w:r>
        <w:t xml:space="preserve">shall prohibit the use of portable storage devices in organizational systems when such devices have no identifiable owner. (MP-7b)</w:t>
      </w:r>
    </w:p>
    <w:p>
      <w:pPr>
        <w:pStyle w:val="Compact"/>
        <w:numPr>
          <w:ilvl w:val="0"/>
          <w:numId w:val="1007"/>
        </w:numPr>
      </w:pPr>
      <w:r>
        <w:t xml:space="preserve">Each organization-issued portable storage device shall be recorded with its owner in the component inventory (CM-8), and personnel shall turn in any device they find whose owner is unknown, without connecting it, to the</w:t>
      </w:r>
      <w:r>
        <w:t xml:space="preserve"> </w:t>
      </w:r>
      <w:r>
        <w:rPr>
          <w:rStyle w:val="Fill-in"/>
        </w:rPr>
        <w:t xml:space="preserve">[Security operations team]</w:t>
      </w:r>
      <w:r>
        <w:t xml:space="preserve">. (MP-7b)</w:t>
      </w:r>
    </w:p>
    <w:bookmarkEnd w:id="28"/>
    <w:bookmarkEnd w:id="29"/>
    <w:bookmarkStart w:id="33" w:name="review-and-update"/>
    <w:p>
      <w:pPr>
        <w:pStyle w:val="Heading2"/>
      </w:pPr>
      <w:r>
        <w:t xml:space="preserve">Review and update</w:t>
      </w:r>
    </w:p>
    <w:p>
      <w:pPr>
        <w:pStyle w:val="Compact"/>
        <w:numPr>
          <w:ilvl w:val="0"/>
          <w:numId w:val="1008"/>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this policy</w:t>
      </w:r>
      <w:r>
        <w:t xml:space="preserve"> </w:t>
      </w:r>
      <w:r>
        <w:rPr>
          <w:rStyle w:val="Fill-in"/>
        </w:rPr>
        <w:t xml:space="preserve">[Fill in: the frequency with which the current media protection policy is reviewed and updated. Typical: annually]</w:t>
      </w:r>
      <w:r>
        <w:t xml:space="preserve"> </w:t>
      </w:r>
      <w:r>
        <w:t xml:space="preserve">and following</w:t>
      </w:r>
      <w:r>
        <w:t xml:space="preserve"> </w:t>
      </w:r>
      <w:r>
        <w:rPr>
          <w:rStyle w:val="Fill-in"/>
        </w:rPr>
        <w:t xml:space="preserve">[Fill in: events that would require the current media protection policy to be reviewed and updated. Typical: assessment or audit findings, security incidents or breaches, and changes in applicable laws, executive orders, directives, regulations, policies, standards or guidelines]</w:t>
      </w:r>
      <w:r>
        <w:t xml:space="preserve">. (MP-1c.1)</w:t>
      </w:r>
    </w:p>
    <w:p>
      <w:pPr>
        <w:pStyle w:val="Compact"/>
        <w:numPr>
          <w:ilvl w:val="0"/>
          <w:numId w:val="1008"/>
        </w:numPr>
      </w:pPr>
      <w:r>
        <w:t xml:space="preserve">The</w:t>
      </w:r>
      <w:r>
        <w:t xml:space="preserve"> </w:t>
      </w:r>
      <w:r>
        <w:rPr>
          <w:rStyle w:val="Fill-in"/>
        </w:rPr>
        <w:t xml:space="preserve">[Fill in: an official to manage the media protection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with which the current media protection procedures are reviewed and updated. Typical: annually]</w:t>
      </w:r>
      <w:r>
        <w:t xml:space="preserve"> </w:t>
      </w:r>
      <w:r>
        <w:t xml:space="preserve">and following</w:t>
      </w:r>
      <w:r>
        <w:t xml:space="preserve"> </w:t>
      </w:r>
      <w:r>
        <w:rPr>
          <w:rStyle w:val="Fill-in"/>
        </w:rPr>
        <w:t xml:space="preserve">[Fill in: events that would require media protection procedures to be reviewed and updated. Typical: the same events as the policy, and changes to the systems, tools or services the procedures describe]</w:t>
      </w:r>
      <w:r>
        <w:t xml:space="preserve">. (MP-1c.2)</w:t>
      </w:r>
    </w:p>
    <w:bookmarkStart w:id="32"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0">
        <w:r>
          <w:rPr>
            <w:rStyle w:val="Hyperlink"/>
          </w:rPr>
          <w:t xml:space="preserve">44 U.S.C. § 3554</w:t>
        </w:r>
      </w:hyperlink>
      <w:r>
        <w:t xml:space="preserve">, Federal agency responsibilities) and</w:t>
      </w:r>
      <w:r>
        <w:t xml:space="preserve"> </w:t>
      </w:r>
      <w:hyperlink r:id="rId31">
        <w:r>
          <w:rPr>
            <w:rStyle w:val="Hyperlink"/>
          </w:rPr>
          <w:t xml:space="preserve">OMB Circular A-130</w:t>
        </w:r>
      </w:hyperlink>
      <w:r>
        <w:t xml:space="preserve">, Appendix I, Responsibilities for Protecting and Managing Federal Information Resources.</w:t>
      </w:r>
    </w:p>
    <w:p>
      <w:pPr>
        <w:pStyle w:val="Compact"/>
        <w:numPr>
          <w:ilvl w:val="0"/>
          <w:numId w:val="1009"/>
        </w:numPr>
      </w:pPr>
      <w:r>
        <w:t xml:space="preserve">Where the agency’s organization-wide policy sets a value for a parameter in this policy, each system shall use that value or a stricter one. (MP-1a.1(b))</w:t>
      </w:r>
    </w:p>
    <w:bookmarkEnd w:id="32"/>
    <w:bookmarkEnd w:id="33"/>
    <w:bookmarkEnd w:id="34"/>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Media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sp/800/88/r2/final" TargetMode="External" /><Relationship Type="http://schemas.openxmlformats.org/officeDocument/2006/relationships/hyperlink" Id="rId22" Target="https://kston83.github.io/nist-guide/templates/forms/media-sanitization-record/" TargetMode="External" /><Relationship Type="http://schemas.openxmlformats.org/officeDocument/2006/relationships/hyperlink" Id="rId27" Target="https://kston83.github.io/nist-guide/templates/policies/ac/" TargetMode="External" /><Relationship Type="http://schemas.openxmlformats.org/officeDocument/2006/relationships/hyperlink" Id="rId23" Target="https://kston83.github.io/nist-guide/templates/policies/ma/" TargetMode="External" /><Relationship Type="http://schemas.openxmlformats.org/officeDocument/2006/relationships/hyperlink" Id="rId9" Target="https://kston83.github.io/nist-guide/templates/policies/mp/" TargetMode="External" /><Relationship Type="http://schemas.openxmlformats.org/officeDocument/2006/relationships/hyperlink" Id="rId19" Target="https://kston83.github.io/nist-guide/templates/standards/encryption-and-key-management-standard/" TargetMode="External" /><Relationship Type="http://schemas.openxmlformats.org/officeDocument/2006/relationships/hyperlink" Id="rId30" Target="https://uscode.house.gov/view.xhtml?req=granuleid:USC-prelim-title44-section3554&amp;num=0&amp;edition=prelim" TargetMode="External" /><Relationship Type="http://schemas.openxmlformats.org/officeDocument/2006/relationships/hyperlink" Id="rId24" Target="https://www.ecfr.gov/current/title-32/section-2002.14" TargetMode="External" /><Relationship Type="http://schemas.openxmlformats.org/officeDocument/2006/relationships/hyperlink" Id="rId31"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sp/800/88/r2/final" TargetMode="External" /><Relationship Type="http://schemas.openxmlformats.org/officeDocument/2006/relationships/hyperlink" Id="rId22" Target="https://kston83.github.io/nist-guide/templates/forms/media-sanitization-record/" TargetMode="External" /><Relationship Type="http://schemas.openxmlformats.org/officeDocument/2006/relationships/hyperlink" Id="rId27" Target="https://kston83.github.io/nist-guide/templates/policies/ac/" TargetMode="External" /><Relationship Type="http://schemas.openxmlformats.org/officeDocument/2006/relationships/hyperlink" Id="rId23" Target="https://kston83.github.io/nist-guide/templates/policies/ma/" TargetMode="External" /><Relationship Type="http://schemas.openxmlformats.org/officeDocument/2006/relationships/hyperlink" Id="rId9" Target="https://kston83.github.io/nist-guide/templates/policies/mp/" TargetMode="External" /><Relationship Type="http://schemas.openxmlformats.org/officeDocument/2006/relationships/hyperlink" Id="rId19" Target="https://kston83.github.io/nist-guide/templates/standards/encryption-and-key-management-standard/" TargetMode="External" /><Relationship Type="http://schemas.openxmlformats.org/officeDocument/2006/relationships/hyperlink" Id="rId30" Target="https://uscode.house.gov/view.xhtml?req=granuleid:USC-prelim-title44-section3554&amp;num=0&amp;edition=prelim" TargetMode="External" /><Relationship Type="http://schemas.openxmlformats.org/officeDocument/2006/relationships/hyperlink" Id="rId24" Target="https://www.ecfr.gov/current/title-32/section-2002.14" TargetMode="External" /><Relationship Type="http://schemas.openxmlformats.org/officeDocument/2006/relationships/hyperlink" Id="rId31"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