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media-protection-policy"/>
    <w:p>
      <w:pPr>
        <w:pStyle w:val="Heading1"/>
      </w:pPr>
      <w:r>
        <w:t xml:space="preserve">Media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Media Protection, and who is accountable for meeting those requirements. (MP-1a.1(a))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(MP-1a.1(a))</w:t>
      </w:r>
    </w:p>
    <w:p>
      <w:pPr>
        <w:pStyle w:val="Compact"/>
        <w:numPr>
          <w:ilvl w:val="0"/>
          <w:numId w:val="1001"/>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manage the development, documentation and dissemination of this policy and its procedures. (MP-1b)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(MP-1a.1(a))</w:t>
      </w:r>
    </w:p>
    <w:p>
      <w:pPr>
        <w:pStyle w:val="Compact"/>
        <w:numPr>
          <w:ilvl w:val="0"/>
          <w:numId w:val="1002"/>
        </w:numPr>
      </w:pPr>
      <w:r>
        <w:t xml:space="preserve">Violations of this policy shall be handled through the organization’s sanctions process. (MP-1a.1(a))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ensure that documented procedures exist to implement this policy and its associated controls. (MP-1a.2)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media protection policy is to be disseminated. Typical: everyone within its scope, through the policy library]</w:t>
      </w:r>
      <w:r>
        <w:t xml:space="preserve">. (MP-1a)</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media protection procedures are to be disseminated. Typical: the people who carry them out, and the system owners]</w:t>
      </w:r>
      <w:r>
        <w:t xml:space="preserve">. (MP-1a)</w:t>
      </w:r>
    </w:p>
    <w:bookmarkEnd w:id="18"/>
    <w:bookmarkStart w:id="25" w:name="policy-statements"/>
    <w:p>
      <w:pPr>
        <w:pStyle w:val="Heading2"/>
      </w:pPr>
      <w:r>
        <w:t xml:space="preserve">Policy statements</w:t>
      </w:r>
    </w:p>
    <w:bookmarkStart w:id="19" w:name="media-access-mp-2"/>
    <w:p>
      <w:pPr>
        <w:pStyle w:val="Heading3"/>
      </w:pPr>
      <w:r>
        <w:t xml:space="preserve">Media access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19"/>
    <w:bookmarkStart w:id="23" w:name="media-sanitization-mp-6"/>
    <w:p>
      <w:pPr>
        <w:pStyle w:val="Heading3"/>
      </w:pPr>
      <w:r>
        <w:t xml:space="preserve">Media sanitization (MP-6)</w:t>
      </w:r>
    </w:p>
    <w:p>
      <w:pPr>
        <w:pStyle w:val="Compact"/>
        <w:numPr>
          <w:ilvl w:val="0"/>
          <w:numId w:val="1005"/>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05"/>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05"/>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05"/>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05"/>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05"/>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05"/>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05"/>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05"/>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05"/>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05"/>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2" w:name="federal-systems"/>
    <w:p>
      <w:pPr>
        <w:pStyle w:val="Heading4"/>
      </w:pPr>
      <w:r>
        <w:t xml:space="preserve">Federal systems</w:t>
      </w:r>
    </w:p>
    <w:p>
      <w:pPr>
        <w:pStyle w:val="FirstParagraph"/>
      </w:pPr>
      <w:r>
        <w:t xml:space="preserve">Under</w:t>
      </w:r>
      <w:r>
        <w:t xml:space="preserve"> </w:t>
      </w:r>
      <w:hyperlink r:id="rId20">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1">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06"/>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06"/>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06"/>
        </w:numPr>
      </w:pPr>
      <w:r>
        <w:t xml:space="preserve">Cryptographic erase shall rely only on encryption modules validated to the current FIPS 140 standard. (MP-6b)</w:t>
      </w:r>
    </w:p>
    <w:bookmarkEnd w:id="22"/>
    <w:bookmarkEnd w:id="23"/>
    <w:bookmarkStart w:id="24" w:name="media-use-mp-7"/>
    <w:p>
      <w:pPr>
        <w:pStyle w:val="Heading3"/>
      </w:pPr>
      <w:r>
        <w:t xml:space="preserve">Media use (MP-7)</w:t>
      </w:r>
    </w:p>
    <w:p>
      <w:pPr>
        <w:pStyle w:val="Compact"/>
        <w:numPr>
          <w:ilvl w:val="0"/>
          <w:numId w:val="1007"/>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007"/>
        </w:numPr>
      </w:pPr>
      <w:r>
        <w:t xml:space="preserve">Personally owned portable storage devices shall not be connected to organizational systems. (MP-7a)</w:t>
      </w:r>
    </w:p>
    <w:p>
      <w:pPr>
        <w:pStyle w:val="Compact"/>
        <w:numPr>
          <w:ilvl w:val="0"/>
          <w:numId w:val="1007"/>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007"/>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24"/>
    <w:bookmarkEnd w:id="25"/>
    <w:bookmarkStart w:id="29" w:name="review-and-update"/>
    <w:p>
      <w:pPr>
        <w:pStyle w:val="Heading2"/>
      </w:pPr>
      <w:r>
        <w:t xml:space="preserve">Review and update</w:t>
      </w:r>
    </w:p>
    <w:p>
      <w:pPr>
        <w:pStyle w:val="Compact"/>
        <w:numPr>
          <w:ilvl w:val="0"/>
          <w:numId w:val="1008"/>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media protection policy is reviewed and updated. Typical: annually]</w:t>
      </w:r>
      <w:r>
        <w:t xml:space="preserve"> </w:t>
      </w:r>
      <w:r>
        <w:t xml:space="preserve">and following</w:t>
      </w:r>
      <w:r>
        <w:t xml:space="preserve"> </w:t>
      </w:r>
      <w:r>
        <w:rPr>
          <w:rStyle w:val="Fill-in"/>
        </w:rPr>
        <w:t xml:space="preserve">[Fill in: events that would require the current media protection policy to be reviewed and updated. Typical: assessment or audit findings, security incidents or breaches, and changes in applicable laws, executive orders, directives, regulations, policies, standards or guidelines]</w:t>
      </w:r>
      <w:r>
        <w:t xml:space="preserve">. (MP-1c.1)</w:t>
      </w:r>
    </w:p>
    <w:p>
      <w:pPr>
        <w:pStyle w:val="Compact"/>
        <w:numPr>
          <w:ilvl w:val="0"/>
          <w:numId w:val="1008"/>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media protection procedures are reviewed and updated. Typical: annually]</w:t>
      </w:r>
      <w:r>
        <w:t xml:space="preserve"> </w:t>
      </w:r>
      <w:r>
        <w:t xml:space="preserve">and following</w:t>
      </w:r>
      <w:r>
        <w:t xml:space="preserve"> </w:t>
      </w:r>
      <w:r>
        <w:rPr>
          <w:rStyle w:val="Fill-in"/>
        </w:rPr>
        <w:t xml:space="preserve">[Fill in: events that would require media protection procedures to be reviewed and updated. Typical: the same events as the policy, and changes to the systems, tools or services the procedures describe]</w:t>
      </w:r>
      <w:r>
        <w:t xml:space="preserve">. (MP-1c.2)</w:t>
      </w:r>
    </w:p>
    <w:bookmarkStart w:id="28"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6">
        <w:r>
          <w:rPr>
            <w:rStyle w:val="Hyperlink"/>
          </w:rPr>
          <w:t xml:space="preserve">44 U.S.C. § 3554</w:t>
        </w:r>
      </w:hyperlink>
      <w:r>
        <w:t xml:space="preserve">, Federal agency responsibilities) and</w:t>
      </w:r>
      <w:r>
        <w:t xml:space="preserve"> </w:t>
      </w:r>
      <w:hyperlink r:id="rId27">
        <w:r>
          <w:rPr>
            <w:rStyle w:val="Hyperlink"/>
          </w:rPr>
          <w:t xml:space="preserve">OMB Circular A-130</w:t>
        </w:r>
      </w:hyperlink>
      <w:r>
        <w:t xml:space="preserve">, Appendix I, Responsibilities for Protecting and Managing Federal Information Resources.</w:t>
      </w:r>
    </w:p>
    <w:p>
      <w:pPr>
        <w:pStyle w:val="Compact"/>
        <w:numPr>
          <w:ilvl w:val="0"/>
          <w:numId w:val="1009"/>
        </w:numPr>
      </w:pPr>
      <w:r>
        <w:t xml:space="preserve">Where the agency’s organization-wide policy sets a value for a parameter in this policy, each system shall use that value or a stricter one. (MP-1a.1(b))</w:t>
      </w:r>
    </w:p>
    <w:bookmarkEnd w:id="28"/>
    <w:bookmarkEnd w:id="29"/>
    <w:bookmarkEnd w:id="3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sp/800/88/r2/final" TargetMode="External" /><Relationship Type="http://schemas.openxmlformats.org/officeDocument/2006/relationships/hyperlink" Id="rId9" Target="https://kston83.github.io/nist-guide/templates/policies/mp/" TargetMode="External" /><Relationship Type="http://schemas.openxmlformats.org/officeDocument/2006/relationships/hyperlink" Id="rId26" Target="https://uscode.house.gov/view.xhtml?req=granuleid:USC-prelim-title44-section3554&amp;num=0&amp;edition=prelim" TargetMode="External" /><Relationship Type="http://schemas.openxmlformats.org/officeDocument/2006/relationships/hyperlink" Id="rId20" Target="https://www.ecfr.gov/current/title-32/section-2002.14" TargetMode="External" /><Relationship Type="http://schemas.openxmlformats.org/officeDocument/2006/relationships/hyperlink" Id="rId2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sp/800/88/r2/final" TargetMode="External" /><Relationship Type="http://schemas.openxmlformats.org/officeDocument/2006/relationships/hyperlink" Id="rId9" Target="https://kston83.github.io/nist-guide/templates/policies/mp/" TargetMode="External" /><Relationship Type="http://schemas.openxmlformats.org/officeDocument/2006/relationships/hyperlink" Id="rId26" Target="https://uscode.house.gov/view.xhtml?req=granuleid:USC-prelim-title44-section3554&amp;num=0&amp;edition=prelim" TargetMode="External" /><Relationship Type="http://schemas.openxmlformats.org/officeDocument/2006/relationships/hyperlink" Id="rId20" Target="https://www.ecfr.gov/current/title-32/section-2002.14" TargetMode="External" /><Relationship Type="http://schemas.openxmlformats.org/officeDocument/2006/relationships/hyperlink" Id="rId2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