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media-protection-policy"/>
    <w:p>
      <w:pPr>
        <w:pStyle w:val="Heading1"/>
      </w:pPr>
      <w:r>
        <w:t xml:space="preserve">Media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MP-1,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MP-1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Media Protection, and who is accountable for meeting those requirements. (MP-1a.1(a))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(MP-1a.1(a))</w:t>
      </w:r>
    </w:p>
    <w:p>
      <w:pPr>
        <w:pStyle w:val="Compact"/>
        <w:numPr>
          <w:ilvl w:val="0"/>
          <w:numId w:val="1001"/>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manage the development, documentation and dissemination of this policy and its procedures. (MP-1b)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(MP-1a.1(a))</w:t>
      </w:r>
    </w:p>
    <w:p>
      <w:pPr>
        <w:pStyle w:val="Compact"/>
        <w:numPr>
          <w:ilvl w:val="0"/>
          <w:numId w:val="1002"/>
        </w:numPr>
      </w:pPr>
      <w:r>
        <w:t xml:space="preserve">Violations of this policy shall be handled through the organization’s sanctions process. (MP-1a.1(a))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ensure that documented procedures exist to implement this policy and its associated controls. (MP-1a.2)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media protection policy is to be disseminated. Typical: everyone within its scope, through the policy library]</w:t>
      </w:r>
      <w:r>
        <w:t xml:space="preserve">. (MP-1a)</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media protection procedures are to be disseminated. Typical: the people who carry them out, and the system owners]</w:t>
      </w:r>
      <w:r>
        <w:t xml:space="preserve">. (MP-1a)</w:t>
      </w:r>
    </w:p>
    <w:bookmarkEnd w:id="18"/>
    <w:bookmarkStart w:id="36"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0" w:name="media-access-mp-2"/>
    <w:p>
      <w:pPr>
        <w:pStyle w:val="Heading3"/>
      </w:pPr>
      <w:r>
        <w:t xml:space="preserve">Media access (MP-2)</w:t>
      </w:r>
    </w:p>
    <w:p>
      <w:pPr>
        <w:pStyle w:val="Guidance"/>
      </w:pPr>
      <w:r>
        <w:t xml:space="preserve">MP-2 restricts who may access media; MP-7 restricts which media may be used on systems, a distinction NIST’s MP-7 discussion draws. NIST’s MP-2 discussion covers digital media (flash drives, tapes, external drives, optical discs) and non-digital media (paper and microfilm). The usual way to restrict access is to keep media where only authorized people can reach them (MP-4) and to encrypt digital media so that only holders of the key can read them, as the</w:t>
      </w:r>
      <w:r>
        <w:t xml:space="preserve"> </w:t>
      </w:r>
      <w:hyperlink r:id="rId19">
        <w:r>
          <w:rPr>
            <w:rStyle w:val="Hyperlink"/>
          </w:rPr>
          <w:t xml:space="preserve">encryption and key management standard</w:t>
        </w:r>
      </w:hyperlink>
      <w:r>
        <w:t xml:space="preserve"> </w:t>
      </w:r>
      <w:r>
        <w:t xml:space="preserve">requires for removable media (SC-28(1)). Assessors ask who can get into the media library or cabinets, and compare that list with the people authorized for the information.</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20"/>
    <w:bookmarkStart w:id="23" w:name="media-marking-mp-3"/>
    <w:p>
      <w:pPr>
        <w:pStyle w:val="Heading3"/>
      </w:pPr>
      <w:r>
        <w:t xml:space="preserve">Media marking (MP-3)</w:t>
      </w:r>
    </w:p>
    <w:p>
      <w:pPr>
        <w:pStyle w:val="Guidance"/>
      </w:pPr>
      <w:r>
        <w:t xml:space="preserve">MP-3 is in the Moderate and High baselines. Marking means a human-readable label on the media or its container that shows how the information must be handled, as NIST’s MP-3 discussion describes. NIST’s discussion also says markings are generally not required for media holding only information approved for public release. The exemption in MP-3b suits media that never leave a controlled area and are handled by automated equipment, such as tapes in a tape library; once such media leave, they are marked.</w:t>
      </w:r>
    </w:p>
    <w:p>
      <w:pPr>
        <w:pStyle w:val="Compact"/>
        <w:numPr>
          <w:ilvl w:val="0"/>
          <w:numId w:val="1005"/>
        </w:numPr>
      </w:pPr>
      <w:r>
        <w:t xml:space="preserve">The</w:t>
      </w:r>
      <w:r>
        <w:t xml:space="preserve"> </w:t>
      </w:r>
      <w:r>
        <w:rPr>
          <w:rStyle w:val="Fill-in"/>
        </w:rPr>
        <w:t xml:space="preserve">[System owner]</w:t>
      </w:r>
      <w:r>
        <w:t xml:space="preserve"> </w:t>
      </w:r>
      <w:r>
        <w:t xml:space="preserve">shall mark system media to indicate the distribution limitations, handling caveats and applicable security markings, if any, of the information they contain. (MP-3a)</w:t>
      </w:r>
    </w:p>
    <w:p>
      <w:pPr>
        <w:pStyle w:val="Compact"/>
        <w:numPr>
          <w:ilvl w:val="0"/>
          <w:numId w:val="1005"/>
        </w:numPr>
      </w:pPr>
      <w:r>
        <w:t xml:space="preserve">Markings shall use the handling labels defined in</w:t>
      </w:r>
      <w:r>
        <w:t xml:space="preserve"> </w:t>
      </w:r>
      <w:r>
        <w:rPr>
          <w:rStyle w:val="Fill-in"/>
        </w:rPr>
        <w:t xml:space="preserve">[Fill in: the organization’s information classification or handling standard]</w:t>
      </w:r>
      <w:r>
        <w:t xml:space="preserve">, together with any marking that a law, regulation or contract requires for the information. (MP-3a)</w:t>
      </w:r>
    </w:p>
    <w:p>
      <w:pPr>
        <w:pStyle w:val="Compact"/>
        <w:numPr>
          <w:ilvl w:val="0"/>
          <w:numId w:val="1005"/>
        </w:numPr>
      </w:pPr>
      <w:r>
        <w:t xml:space="preserve">Digital media shall carry the marking on the media themselves where they are large enough, and otherwise on their container. (MP-3a)</w:t>
      </w:r>
    </w:p>
    <w:p>
      <w:pPr>
        <w:pStyle w:val="Compact"/>
        <w:numPr>
          <w:ilvl w:val="0"/>
          <w:numId w:val="1005"/>
        </w:numPr>
      </w:pPr>
      <w:r>
        <w:t xml:space="preserve">The</w:t>
      </w:r>
      <w:r>
        <w:t xml:space="preserve"> </w:t>
      </w:r>
      <w:r>
        <w:rPr>
          <w:rStyle w:val="Fill-in"/>
        </w:rPr>
        <w:t xml:space="preserve">[System owner]</w:t>
      </w:r>
      <w:r>
        <w:t xml:space="preserve"> </w:t>
      </w:r>
      <w:r>
        <w:t xml:space="preserve">shall exempt</w:t>
      </w:r>
      <w:r>
        <w:t xml:space="preserve"> </w:t>
      </w:r>
      <w:r>
        <w:rPr>
          <w:rStyle w:val="Fill-in"/>
        </w:rPr>
        <w:t xml:space="preserve">[Fill in: types of system media exempt from marking when remaining in controlled areas. Typical: backup media and drives held in automated tape libraries, storage arrays and server enclosures]</w:t>
      </w:r>
      <w:r>
        <w:t xml:space="preserve"> </w:t>
      </w:r>
      <w:r>
        <w:t xml:space="preserve">from marking only while the media remain within</w:t>
      </w:r>
      <w:r>
        <w:t xml:space="preserve"> </w:t>
      </w:r>
      <w:r>
        <w:rPr>
          <w:rStyle w:val="Fill-in"/>
        </w:rPr>
        <w:t xml:space="preserve">[Fill in: controlled areas where media is exempt from marking. Typical: the data center and the media library, where physical access is limited to authorized personnel (PE-3)]</w:t>
      </w:r>
      <w:r>
        <w:t xml:space="preserve">, and shall mark them before they leave. (MP-3b)</w:t>
      </w:r>
    </w:p>
    <w:bookmarkStart w:id="22" w:name="federal-systems"/>
    <w:p>
      <w:pPr>
        <w:pStyle w:val="Heading4"/>
      </w:pPr>
      <w:r>
        <w:t xml:space="preserve">Federal systems</w:t>
      </w:r>
    </w:p>
    <w:p>
      <w:pPr>
        <w:pStyle w:val="FirstParagraph"/>
      </w:pPr>
      <w:r>
        <w:t xml:space="preserve">Under</w:t>
      </w:r>
      <w:r>
        <w:t xml:space="preserve"> </w:t>
      </w:r>
      <w:hyperlink r:id="rId21">
        <w:r>
          <w:rPr>
            <w:rStyle w:val="Hyperlink"/>
          </w:rPr>
          <w:t xml:space="preserve">32 CFR 2002.20(a)(1)</w:t>
        </w:r>
      </w:hyperlink>
      <w:r>
        <w:t xml:space="preserve">, agencies and authorized holders must uniformly and conspicuously apply CUI markings to all controlled unclassified information (CUI), in accordance with 32 CFR Part 2002 and the CUI Registry, unless that part or the CUI Executive Agent specifically permits otherwise. Under 2002.20(a)(7), a missing marking does not exempt an authorized holder from the handling requirements. Under 2002.20(a)(8), when marking CUI individually is impractical because of its quantity or nature, or under a limited marking waiver, authorized holders must make recipients aware of its CUI status by an alternate method that is readily apparent, such as signs in storage areas or on containers. As of October 2026.</w:t>
      </w:r>
    </w:p>
    <w:p>
      <w:pPr>
        <w:pStyle w:val="Compact"/>
        <w:numPr>
          <w:ilvl w:val="0"/>
          <w:numId w:val="1006"/>
        </w:numPr>
      </w:pPr>
      <w:r>
        <w:t xml:space="preserve">The</w:t>
      </w:r>
      <w:r>
        <w:t xml:space="preserve"> </w:t>
      </w:r>
      <w:r>
        <w:rPr>
          <w:rStyle w:val="Fill-in"/>
        </w:rPr>
        <w:t xml:space="preserve">[System owner]</w:t>
      </w:r>
      <w:r>
        <w:t xml:space="preserve"> </w:t>
      </w:r>
      <w:r>
        <w:t xml:space="preserve">shall mark system media containing CUI with CUI markings in accordance with 32 CFR 2002.20 and the CUI Registry. (MP-3a)</w:t>
      </w:r>
    </w:p>
    <w:p>
      <w:pPr>
        <w:pStyle w:val="Compact"/>
        <w:numPr>
          <w:ilvl w:val="0"/>
          <w:numId w:val="1006"/>
        </w:numPr>
      </w:pPr>
      <w:r>
        <w:t xml:space="preserve">The</w:t>
      </w:r>
      <w:r>
        <w:t xml:space="preserve"> </w:t>
      </w:r>
      <w:r>
        <w:rPr>
          <w:rStyle w:val="Fill-in"/>
        </w:rPr>
        <w:t xml:space="preserve">[System owner]</w:t>
      </w:r>
      <w:r>
        <w:t xml:space="preserve"> </w:t>
      </w:r>
      <w:r>
        <w:t xml:space="preserve">shall not apply the MP-3b exemption to media containing CUI unless their CUI status is shown by an alternate marking method that 32 CFR 2002.20(a)(8) permits, such as signs in the storage area or on the container. (MP-3b)</w:t>
      </w:r>
    </w:p>
    <w:bookmarkEnd w:id="22"/>
    <w:bookmarkEnd w:id="23"/>
    <w:bookmarkStart w:id="27" w:name="media-storage-mp-4"/>
    <w:p>
      <w:pPr>
        <w:pStyle w:val="Heading3"/>
      </w:pPr>
      <w:r>
        <w:t xml:space="preserve">Media storage (MP-4)</w:t>
      </w:r>
    </w:p>
    <w:p>
      <w:pPr>
        <w:pStyle w:val="Guidance"/>
      </w:pPr>
      <w:r>
        <w:t xml:space="preserve">MP-4 is in the Moderate and High baselines. NIST’s MP-4 discussion describes physical control as inventories, check-out and return procedures, and accountability for stored media, and secure storage as a locked drawer, desk or cabinet or a controlled media library, matched to the security category of the information. MP-4b covers media until they are sanitized or destroyed, so failed drives and retired equipment waiting for sanitization stay in a controlled area and on the inventory. The</w:t>
      </w:r>
      <w:r>
        <w:t xml:space="preserve"> </w:t>
      </w:r>
      <w:hyperlink r:id="rId24">
        <w:r>
          <w:rPr>
            <w:rStyle w:val="Hyperlink"/>
          </w:rPr>
          <w:t xml:space="preserve">media sanitization record</w:t>
        </w:r>
      </w:hyperlink>
      <w:r>
        <w:t xml:space="preserve"> </w:t>
      </w:r>
      <w:r>
        <w:t xml:space="preserve">closes each item out.</w:t>
      </w:r>
    </w:p>
    <w:p>
      <w:pPr>
        <w:pStyle w:val="Compact"/>
        <w:numPr>
          <w:ilvl w:val="0"/>
          <w:numId w:val="1007"/>
        </w:numPr>
      </w:pPr>
      <w:r>
        <w:t xml:space="preserve">The</w:t>
      </w:r>
      <w:r>
        <w:t xml:space="preserve"> </w:t>
      </w:r>
      <w:r>
        <w:rPr>
          <w:rStyle w:val="Fill-in"/>
        </w:rPr>
        <w:t xml:space="preserve">[System owner]</w:t>
      </w:r>
      <w:r>
        <w:t xml:space="preserve"> </w:t>
      </w:r>
      <w:r>
        <w:t xml:space="preserve">shall physically control</w:t>
      </w:r>
      <w:r>
        <w:t xml:space="preserve"> </w:t>
      </w:r>
      <w:r>
        <w:rPr>
          <w:rStyle w:val="Fill-in"/>
        </w:rPr>
        <w:t xml:space="preserve">[Fill in: types of digital media to be physically controlled. Typical: removable and portable storage media, backup media, and storage removed from service and awaiting sanitization]</w:t>
      </w:r>
      <w:r>
        <w:t xml:space="preserve"> </w:t>
      </w:r>
      <w:r>
        <w:t xml:space="preserve">and</w:t>
      </w:r>
      <w:r>
        <w:t xml:space="preserve"> </w:t>
      </w:r>
      <w:r>
        <w:rPr>
          <w:rStyle w:val="Fill-in"/>
        </w:rPr>
        <w:t xml:space="preserve">[Fill in: types of non-digital media to be physically controlled. Typical: paper and microfilm containing information not approved for public release]</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digital media to be securely stored. Typical: removable and portable storage media, backup media, and storage removed from service and awaiting sanitization]</w:t>
      </w:r>
      <w:r>
        <w:t xml:space="preserve"> </w:t>
      </w:r>
      <w:r>
        <w:t xml:space="preserve">within</w:t>
      </w:r>
      <w:r>
        <w:t xml:space="preserve"> </w:t>
      </w:r>
      <w:r>
        <w:rPr>
          <w:rStyle w:val="Fill-in"/>
        </w:rPr>
        <w:t xml:space="preserve">[Fill in: controlled areas within which to securely store digital media. Typical: the data center, the media library, or a locked container in an area with physical access control, with access limited to authorized personnel]</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non-digital media to be securely stored. Typical: paper and microfilm containing information not approved for public release]</w:t>
      </w:r>
      <w:r>
        <w:t xml:space="preserve"> </w:t>
      </w:r>
      <w:r>
        <w:t xml:space="preserve">within</w:t>
      </w:r>
      <w:r>
        <w:t xml:space="preserve"> </w:t>
      </w:r>
      <w:r>
        <w:rPr>
          <w:rStyle w:val="Fill-in"/>
        </w:rPr>
        <w:t xml:space="preserve">[Fill in: controlled areas within which to securely store non-digital media. Typical: locked cabinets, drawers or rooms with access limited to authorized personnel]</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keep an inventory of the digital media in each media library or store, with check-out and return records, and reconcile it at least quarterly. (MP-4a)</w:t>
      </w:r>
    </w:p>
    <w:p>
      <w:pPr>
        <w:pStyle w:val="Compact"/>
        <w:numPr>
          <w:ilvl w:val="0"/>
          <w:numId w:val="1007"/>
        </w:numPr>
      </w:pPr>
      <w:r>
        <w:t xml:space="preserve">Digital media stored outside the data center shall be encrypted as the encryption and key management standard requires for removable media (SC-28(1)). (MP-4a)</w:t>
      </w:r>
    </w:p>
    <w:p>
      <w:pPr>
        <w:pStyle w:val="Compact"/>
        <w:numPr>
          <w:ilvl w:val="0"/>
          <w:numId w:val="1007"/>
        </w:numPr>
      </w:pPr>
      <w:r>
        <w:t xml:space="preserve">The</w:t>
      </w:r>
      <w:r>
        <w:t xml:space="preserve"> </w:t>
      </w:r>
      <w:r>
        <w:rPr>
          <w:rStyle w:val="Fill-in"/>
        </w:rPr>
        <w:t xml:space="preserve">[System owner]</w:t>
      </w:r>
      <w:r>
        <w:t xml:space="preserve"> </w:t>
      </w:r>
      <w:r>
        <w:t xml:space="preserve">shall protect these media until they are destroyed or sanitized using approved equipment, techniques and procedures, keeping media that are awaiting sanitization in the same controlled areas and on the inventory until the sanitization is recorded. (MP-4b)</w:t>
      </w:r>
    </w:p>
    <w:bookmarkStart w:id="26" w:name="federal-systems-1"/>
    <w:p>
      <w:pPr>
        <w:pStyle w:val="Heading4"/>
      </w:pPr>
      <w:r>
        <w:t xml:space="preserve">Federal systems</w:t>
      </w:r>
    </w:p>
    <w:p>
      <w:pPr>
        <w:pStyle w:val="FirstParagraph"/>
      </w:pPr>
      <w:r>
        <w:t xml:space="preserve">Under</w:t>
      </w:r>
      <w:r>
        <w:t xml:space="preserve"> </w:t>
      </w:r>
      <w:hyperlink r:id="rId25">
        <w:r>
          <w:rPr>
            <w:rStyle w:val="Hyperlink"/>
          </w:rPr>
          <w:t xml:space="preserve">32 CFR 2002.14(c)</w:t>
        </w:r>
      </w:hyperlink>
      <w:r>
        <w:t xml:space="preserve">, authorized holders of controlled unclassified information (CUI) must take reasonable precautions against its unauthorized disclosure, including establishing and using controlled environments in which to protect it from unauthorized access or disclosure, and, when it is outside a controlled environment, keeping it under the authorized holder’s direct control or protecting it with at least one physical barrier.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store media containing CUI only in controlled environments that meet 32 CFR 2002.14(c), and shall keep such media under an authorized holder’s direct control, or behind at least one physical barrier such as a locked container, whenever they are outside a controlled environment. (MP-4a)</w:t>
      </w:r>
    </w:p>
    <w:bookmarkEnd w:id="26"/>
    <w:bookmarkEnd w:id="27"/>
    <w:bookmarkStart w:id="29" w:name="media-transport-mp-5"/>
    <w:p>
      <w:pPr>
        <w:pStyle w:val="Heading3"/>
      </w:pPr>
      <w:r>
        <w:t xml:space="preserve">Media transport (MP-5)</w:t>
      </w:r>
    </w:p>
    <w:p>
      <w:pPr>
        <w:pStyle w:val="Guidance"/>
      </w:pPr>
      <w:r>
        <w:t xml:space="preserve">MP-5 is in the Moderate and High baselines. NIST’s MP-5 discussion names cryptography and locked containers as transport protections, and describes accountability as restricting transport to authorized personnel and tracking or obtaining records of the media as they move, to prevent and detect loss, destruction or tampering. Couriers may be external to the organization. Common cases are backup media going to the alternate storage site (CP-6, CP-9), drives going to a destruction provider, and media sent to another organization under an information exchange agreement. Keep the transport records with the system’s records; for drives sent for destruction, record the transport in the</w:t>
      </w:r>
      <w:r>
        <w:t xml:space="preserve"> </w:t>
      </w:r>
      <w:hyperlink r:id="rId24">
        <w:r>
          <w:rPr>
            <w:rStyle w:val="Hyperlink"/>
          </w:rPr>
          <w:t xml:space="preserve">media sanitization record</w:t>
        </w:r>
      </w:hyperlink>
      <w:r>
        <w:t xml:space="preserve">.</w:t>
      </w:r>
    </w:p>
    <w:p>
      <w:pPr>
        <w:pStyle w:val="Compact"/>
        <w:numPr>
          <w:ilvl w:val="0"/>
          <w:numId w:val="1009"/>
        </w:numPr>
      </w:pPr>
      <w:r>
        <w:t xml:space="preserve">The</w:t>
      </w:r>
      <w:r>
        <w:t xml:space="preserve"> </w:t>
      </w:r>
      <w:r>
        <w:rPr>
          <w:rStyle w:val="Fill-in"/>
        </w:rPr>
        <w:t xml:space="preserve">[System owner]</w:t>
      </w:r>
      <w:r>
        <w:t xml:space="preserve"> </w:t>
      </w:r>
      <w:r>
        <w:t xml:space="preserve">shall protect and control</w:t>
      </w:r>
      <w:r>
        <w:t xml:space="preserve"> </w:t>
      </w:r>
      <w:r>
        <w:rPr>
          <w:rStyle w:val="Fill-in"/>
        </w:rPr>
        <w:t xml:space="preserve">[Fill in: types of system media to protect and control during transport outside of controlled areas. Typical: all digital and non-digital media containing information not approved for public release]</w:t>
      </w:r>
      <w:r>
        <w:t xml:space="preserve"> </w:t>
      </w:r>
      <w:r>
        <w:t xml:space="preserve">during transport outside of controlled areas using</w:t>
      </w:r>
      <w:r>
        <w:t xml:space="preserve"> </w:t>
      </w:r>
      <w:r>
        <w:rPr>
          <w:rStyle w:val="Fill-in"/>
        </w:rPr>
        <w:t xml:space="preserve">[Fill in: controls used to protect system media outside of controlled areas. Typical: encryption of digital media under the encryption and key management standard, and sealed, tamper-evident packaging or locked containers]</w:t>
      </w:r>
      <w:r>
        <w:t xml:space="preserve"> </w:t>
      </w:r>
      <w:r>
        <w:t xml:space="preserve">and</w:t>
      </w:r>
      <w:r>
        <w:t xml:space="preserve"> </w:t>
      </w:r>
      <w:r>
        <w:rPr>
          <w:rStyle w:val="Fill-in"/>
        </w:rPr>
        <w:t xml:space="preserve">[Fill in: controls used to control system media outside of controlled areas. Typical: transport only by authorized personnel or by a courier service with tracking and a signature on delivery, and a chain-of-custody record from release to receipt]</w:t>
      </w:r>
      <w:r>
        <w:t xml:space="preserve">. (MP-5a)</w:t>
      </w:r>
    </w:p>
    <w:p>
      <w:pPr>
        <w:pStyle w:val="Compact"/>
        <w:numPr>
          <w:ilvl w:val="0"/>
          <w:numId w:val="1009"/>
        </w:numPr>
      </w:pPr>
      <w:r>
        <w:t xml:space="preserve">Digital media shall be encrypted before they leave a controlled area, as the encryption and key management standard requires for removable media, and the key or password shall not travel with the media. (MP-5a)</w:t>
      </w:r>
    </w:p>
    <w:p>
      <w:pPr>
        <w:pStyle w:val="Compact"/>
        <w:numPr>
          <w:ilvl w:val="0"/>
          <w:numId w:val="1009"/>
        </w:numPr>
      </w:pPr>
      <w:r>
        <w:t xml:space="preserve">The</w:t>
      </w:r>
      <w:r>
        <w:t xml:space="preserve"> </w:t>
      </w:r>
      <w:r>
        <w:rPr>
          <w:rStyle w:val="Fill-in"/>
        </w:rPr>
        <w:t xml:space="preserve">[System owner]</w:t>
      </w:r>
      <w:r>
        <w:t xml:space="preserve"> </w:t>
      </w:r>
      <w:r>
        <w:t xml:space="preserve">shall maintain accountability for system media during transport, so that each item can be traced from its release to its receipt. (MP-5b)</w:t>
      </w:r>
    </w:p>
    <w:p>
      <w:pPr>
        <w:pStyle w:val="Compact"/>
        <w:numPr>
          <w:ilvl w:val="0"/>
          <w:numId w:val="1009"/>
        </w:numPr>
      </w:pPr>
      <w:r>
        <w:t xml:space="preserve">The sender shall confirm receipt of each shipment, and shall report a shipment that does not arrive when expected, or arrives with its packaging opened or damaged, as a security incident under the incident response plan (IR-6). (MP-5b)</w:t>
      </w:r>
    </w:p>
    <w:p>
      <w:pPr>
        <w:pStyle w:val="Compact"/>
        <w:numPr>
          <w:ilvl w:val="0"/>
          <w:numId w:val="1009"/>
        </w:numPr>
      </w:pPr>
      <w:r>
        <w:t xml:space="preserve">The</w:t>
      </w:r>
      <w:r>
        <w:t xml:space="preserve"> </w:t>
      </w:r>
      <w:r>
        <w:rPr>
          <w:rStyle w:val="Fill-in"/>
        </w:rPr>
        <w:t xml:space="preserve">[System owner]</w:t>
      </w:r>
      <w:r>
        <w:t xml:space="preserve"> </w:t>
      </w:r>
      <w:r>
        <w:t xml:space="preserve">shall document each transport of system media: the media and their identifiers, who released them, the carrier, the recipient, the tracking number where there is one, and the dates of release and receipt. (MP-5c)</w:t>
      </w:r>
    </w:p>
    <w:p>
      <w:pPr>
        <w:pStyle w:val="Compact"/>
        <w:numPr>
          <w:ilvl w:val="0"/>
          <w:numId w:val="1009"/>
        </w:numPr>
      </w:pPr>
      <w:r>
        <w:t xml:space="preserve">The</w:t>
      </w:r>
      <w:r>
        <w:t xml:space="preserve"> </w:t>
      </w:r>
      <w:r>
        <w:rPr>
          <w:rStyle w:val="Fill-in"/>
        </w:rPr>
        <w:t xml:space="preserve">[System owner]</w:t>
      </w:r>
      <w:r>
        <w:t xml:space="preserve"> </w:t>
      </w:r>
      <w:r>
        <w:t xml:space="preserve">shall designate the personnel authorized to release, carry and receive system media, and shall use external couriers only under a contract or agreement that requires tracking and a signature on delivery. (MP-5d)</w:t>
      </w:r>
    </w:p>
    <w:bookmarkStart w:id="28" w:name="federal-systems-2"/>
    <w:p>
      <w:pPr>
        <w:pStyle w:val="Heading4"/>
      </w:pPr>
      <w:r>
        <w:t xml:space="preserve">Federal systems</w:t>
      </w:r>
    </w:p>
    <w:p>
      <w:pPr>
        <w:pStyle w:val="FirstParagraph"/>
      </w:pPr>
      <w:r>
        <w:t xml:space="preserve">Under</w:t>
      </w:r>
      <w:r>
        <w:t xml:space="preserve"> </w:t>
      </w:r>
      <w:hyperlink r:id="rId25">
        <w:r>
          <w:rPr>
            <w:rStyle w:val="Hyperlink"/>
          </w:rPr>
          <w:t xml:space="preserve">32 CFR 2002.14(d)</w:t>
        </w:r>
      </w:hyperlink>
      <w:r>
        <w:t xml:space="preserve">, authorized holders sending controlled unclassified information (CUI) may use the United States Postal Service, any commercial delivery service, or interoffice or interagency mail; should use in-transit automated tracking and accountability tools; and must mark packages that contain CUI as 32 CFR Part 2002 and the CUI Executive Agent’s guidance require (see 32 CFR 2002.20). As of October 2026.</w:t>
      </w:r>
    </w:p>
    <w:p>
      <w:pPr>
        <w:pStyle w:val="Compact"/>
        <w:numPr>
          <w:ilvl w:val="0"/>
          <w:numId w:val="1010"/>
        </w:numPr>
      </w:pPr>
      <w:r>
        <w:t xml:space="preserve">When shipping media containing CUI, the</w:t>
      </w:r>
      <w:r>
        <w:t xml:space="preserve"> </w:t>
      </w:r>
      <w:r>
        <w:rPr>
          <w:rStyle w:val="Fill-in"/>
        </w:rPr>
        <w:t xml:space="preserve">[System owner]</w:t>
      </w:r>
      <w:r>
        <w:t xml:space="preserve"> </w:t>
      </w:r>
      <w:r>
        <w:t xml:space="preserve">shall use the United States Postal Service, a commercial delivery service, or interoffice or interagency mail, with in-transit automated tracking, and shall mark the packages as 32 CFR 2002.14(d) and 2002.20 require. (MP-5a)</w:t>
      </w:r>
    </w:p>
    <w:bookmarkEnd w:id="28"/>
    <w:bookmarkEnd w:id="29"/>
    <w:bookmarkStart w:id="33" w:name="media-sanitization-mp-6"/>
    <w:p>
      <w:pPr>
        <w:pStyle w:val="Heading3"/>
      </w:pPr>
      <w:r>
        <w:t xml:space="preserve">Media sanitization (MP-6)</w:t>
      </w:r>
    </w:p>
    <w:p>
      <w:pPr>
        <w:pStyle w:val="Guidance"/>
      </w:pPr>
      <w:r>
        <w:t xml:space="preserve">NIST’s MP-6 discussion applies sanitization to all digital and non-digital media subject to disposal or reuse, removable or not, and names the storage in scanners, copiers, printers, notebook computers, workstations, network components and mobile devices.</w:t>
      </w:r>
      <w:r>
        <w:t xml:space="preserve"> </w:t>
      </w:r>
      <w:hyperlink r:id="rId30">
        <w:r>
          <w:rPr>
            <w:rStyle w:val="Hyperlink"/>
          </w:rPr>
          <w:t xml:space="preserve">NIST SP 800-88 Rev. 2</w:t>
        </w:r>
      </w:hyperlink>
      <w:r>
        <w:t xml:space="preserve">, Guidelines for Media Sanitization (September 2025, final; as of October 2026), defines three methods: clear (logical techniques against simple, non-invasive recovery), purge (recovery infeasible with state-of-the-art laboratory techniques, media possibly reusable) and destroy (recovery infeasible and the media unusable). It says purge should be used instead of clear when possible, and that the decision rests on the confidentiality of the information rather than the type of media; it points to the IEEE 2883 series for technique by media type. For cloud and other virtual storage, it notes that cryptographic erase may be the only purge option. It also advises against shredding or pulverizing storage devices for anything but the lowest security categories, since denser, harder media can survive them; paper can be shredded.</w:t>
      </w:r>
    </w:p>
    <w:p>
      <w:pPr>
        <w:pStyle w:val="Guidance"/>
      </w:pPr>
      <w:r>
        <w:t xml:space="preserve">The media sanitization procedure named below is the organization’s: a table of the media types in use with the method, technique, tool and verification for each, which the</w:t>
      </w:r>
      <w:r>
        <w:t xml:space="preserve"> </w:t>
      </w:r>
      <w:hyperlink r:id="rId24">
        <w:r>
          <w:rPr>
            <w:rStyle w:val="Hyperlink"/>
          </w:rPr>
          <w:t xml:space="preserve">media sanitization record</w:t>
        </w:r>
      </w:hyperlink>
      <w:r>
        <w:t xml:space="preserve"> </w:t>
      </w:r>
      <w:r>
        <w:t xml:space="preserve">provides. SP 800-88 Rev. 2 section 4.6 recommends a certificate of sanitization for each item, and the record’s register holds those details. Keep the values consistent with the</w:t>
      </w:r>
      <w:r>
        <w:t xml:space="preserve"> </w:t>
      </w:r>
      <w:hyperlink r:id="rId31">
        <w:r>
          <w:rPr>
            <w:rStyle w:val="Hyperlink"/>
          </w:rPr>
          <w:t xml:space="preserve">Maintenance policy</w:t>
        </w:r>
      </w:hyperlink>
      <w:r>
        <w:t xml:space="preserve">: equipment leaving for repair is sanitized first (MA-2d), and media that cannot be sanitized, such as a failed drive, stay with the organization.</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11"/>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11"/>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11"/>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11"/>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11"/>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11"/>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11"/>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11"/>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32" w:name="federal-systems-3"/>
    <w:p>
      <w:pPr>
        <w:pStyle w:val="Heading4"/>
      </w:pPr>
      <w:r>
        <w:t xml:space="preserve">Federal systems</w:t>
      </w:r>
    </w:p>
    <w:p>
      <w:pPr>
        <w:pStyle w:val="FirstParagraph"/>
      </w:pPr>
      <w:r>
        <w:t xml:space="preserve">Under</w:t>
      </w:r>
      <w:r>
        <w:t xml:space="preserve"> </w:t>
      </w:r>
      <w:hyperlink r:id="rId25">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30">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12"/>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12"/>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12"/>
        </w:numPr>
      </w:pPr>
      <w:r>
        <w:t xml:space="preserve">Cryptographic erase shall rely only on encryption modules validated to the current FIPS 140 standard. (MP-6b)</w:t>
      </w:r>
    </w:p>
    <w:bookmarkEnd w:id="32"/>
    <w:bookmarkEnd w:id="33"/>
    <w:bookmarkStart w:id="35" w:name="media-use-mp-7"/>
    <w:p>
      <w:pPr>
        <w:pStyle w:val="Heading3"/>
      </w:pPr>
      <w:r>
        <w:t xml:space="preserve">Media use (MP-7)</w:t>
      </w:r>
    </w:p>
    <w:p>
      <w:pPr>
        <w:pStyle w:val="Guidance"/>
      </w:pPr>
      <w:r>
        <w:t xml:space="preserve">NIST’s MP-7 discussion contrasts it with MP-2: MP-2 restricts who may access media, while MP-7 restricts which media may be used on systems. It lists the usual technical controls: disabling ports or the ability to read or write to devices, limiting use to approved, organization-provided devices that are not personally owned, and blocking writes to portable devices. Requiring an identifiable owner, MP-7b, lets the organization assign responsibility for a device’s known vulnerabilities. The typical values match the</w:t>
      </w:r>
      <w:r>
        <w:t xml:space="preserve"> </w:t>
      </w:r>
      <w:hyperlink r:id="rId34">
        <w:r>
          <w:rPr>
            <w:rStyle w:val="Hyperlink"/>
          </w:rPr>
          <w:t xml:space="preserve">Access Control Policy</w:t>
        </w:r>
      </w:hyperlink>
      <w:r>
        <w:t xml:space="preserve">, which allows only encrypted, organization-issued devices on external systems (AC-20(2)), and the encryption and key management standard, which requires encryption of removable media (SC-28(1)). Choose</w:t>
      </w:r>
      <w:r>
        <w:t xml:space="preserve"> </w:t>
      </w:r>
      <w:r>
        <w:t xml:space="preserve">“prohibit”</w:t>
      </w:r>
      <w:r>
        <w:t xml:space="preserve"> </w:t>
      </w:r>
      <w:r>
        <w:t xml:space="preserve">for systems whose risk does not justify any portable storage.</w:t>
      </w:r>
    </w:p>
    <w:p>
      <w:pPr>
        <w:pStyle w:val="Compact"/>
        <w:numPr>
          <w:ilvl w:val="0"/>
          <w:numId w:val="1013"/>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013"/>
        </w:numPr>
      </w:pPr>
      <w:r>
        <w:t xml:space="preserve">Personally owned portable storage devices shall not be connected to organizational systems. (MP-7a)</w:t>
      </w:r>
    </w:p>
    <w:p>
      <w:pPr>
        <w:pStyle w:val="Compact"/>
        <w:numPr>
          <w:ilvl w:val="0"/>
          <w:numId w:val="1013"/>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013"/>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35"/>
    <w:bookmarkEnd w:id="36"/>
    <w:bookmarkStart w:id="40" w:name="review-and-update"/>
    <w:p>
      <w:pPr>
        <w:pStyle w:val="Heading2"/>
      </w:pPr>
      <w:r>
        <w:t xml:space="preserve">Review and update</w:t>
      </w:r>
    </w:p>
    <w:p>
      <w:pPr>
        <w:pStyle w:val="Compact"/>
        <w:numPr>
          <w:ilvl w:val="0"/>
          <w:numId w:val="1014"/>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media protection policy is reviewed and updated. Typical: annually]</w:t>
      </w:r>
      <w:r>
        <w:t xml:space="preserve"> </w:t>
      </w:r>
      <w:r>
        <w:t xml:space="preserve">and following</w:t>
      </w:r>
      <w:r>
        <w:t xml:space="preserve"> </w:t>
      </w:r>
      <w:r>
        <w:rPr>
          <w:rStyle w:val="Fill-in"/>
        </w:rPr>
        <w:t xml:space="preserve">[Fill in: events that would require the current media protection policy to be reviewed and updated. Typical: assessment or audit findings, security incidents or breaches, and changes in applicable laws, executive orders, directives, regulations, policies, standards or guidelines]</w:t>
      </w:r>
      <w:r>
        <w:t xml:space="preserve">. (MP-1c.1)</w:t>
      </w:r>
    </w:p>
    <w:p>
      <w:pPr>
        <w:pStyle w:val="Compact"/>
        <w:numPr>
          <w:ilvl w:val="0"/>
          <w:numId w:val="1014"/>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media protection procedures are reviewed and updated. Typical: annually]</w:t>
      </w:r>
      <w:r>
        <w:t xml:space="preserve"> </w:t>
      </w:r>
      <w:r>
        <w:t xml:space="preserve">and following</w:t>
      </w:r>
      <w:r>
        <w:t xml:space="preserve"> </w:t>
      </w:r>
      <w:r>
        <w:rPr>
          <w:rStyle w:val="Fill-in"/>
        </w:rPr>
        <w:t xml:space="preserve">[Fill in: events that would require media protection procedures to be reviewed and updated. Typical: the same events as the policy, and changes to the systems, tools or services the procedures describe]</w:t>
      </w:r>
      <w:r>
        <w:t xml:space="preserve">. (MP-1c.2)</w:t>
      </w:r>
    </w:p>
    <w:bookmarkStart w:id="39"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7">
        <w:r>
          <w:rPr>
            <w:rStyle w:val="Hyperlink"/>
          </w:rPr>
          <w:t xml:space="preserve">44 U.S.C. § 3554</w:t>
        </w:r>
      </w:hyperlink>
      <w:r>
        <w:t xml:space="preserve">, Federal agency responsibilities) and</w:t>
      </w:r>
      <w:r>
        <w:t xml:space="preserve"> </w:t>
      </w:r>
      <w:hyperlink r:id="rId38">
        <w:r>
          <w:rPr>
            <w:rStyle w:val="Hyperlink"/>
          </w:rPr>
          <w:t xml:space="preserve">OMB Circular A-130</w:t>
        </w:r>
      </w:hyperlink>
      <w:r>
        <w:t xml:space="preserve">, Appendix I, Responsibilities for Protecting and Managing Federal Information Resources.</w:t>
      </w:r>
    </w:p>
    <w:p>
      <w:pPr>
        <w:pStyle w:val="Compact"/>
        <w:numPr>
          <w:ilvl w:val="0"/>
          <w:numId w:val="1015"/>
        </w:numPr>
      </w:pPr>
      <w:r>
        <w:t xml:space="preserve">Where the agency’s organization-wide policy sets a value for a parameter in this policy, each system shall use that value or a stricter one. (MP-1a.1(b))</w:t>
      </w:r>
    </w:p>
    <w:bookmarkEnd w:id="39"/>
    <w:bookmarkEnd w:id="40"/>
    <w:bookmarkEnd w:id="4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sp/800/88/r2/final" TargetMode="External" /><Relationship Type="http://schemas.openxmlformats.org/officeDocument/2006/relationships/hyperlink" Id="rId24" Target="https://kston83.github.io/nist-guide/templates/forms/media-sanitization-record/" TargetMode="External" /><Relationship Type="http://schemas.openxmlformats.org/officeDocument/2006/relationships/hyperlink" Id="rId34" Target="https://kston83.github.io/nist-guide/templates/policies/ac/" TargetMode="External" /><Relationship Type="http://schemas.openxmlformats.org/officeDocument/2006/relationships/hyperlink" Id="rId31" Target="https://kston83.github.io/nist-guide/templates/policies/ma/" TargetMode="External" /><Relationship Type="http://schemas.openxmlformats.org/officeDocument/2006/relationships/hyperlink" Id="rId9" Target="https://kston83.github.io/nist-guide/templates/policies/mp/" TargetMode="External" /><Relationship Type="http://schemas.openxmlformats.org/officeDocument/2006/relationships/hyperlink" Id="rId19" Target="https://kston83.github.io/nist-guide/templates/standards/encryption-and-key-management-standard/"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25" Target="https://www.ecfr.gov/current/title-32/section-2002.14" TargetMode="External" /><Relationship Type="http://schemas.openxmlformats.org/officeDocument/2006/relationships/hyperlink" Id="rId21" Target="https://www.ecfr.gov/current/title-32/section-2002.20" TargetMode="External" /><Relationship Type="http://schemas.openxmlformats.org/officeDocument/2006/relationships/hyperlink" Id="rId3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sp/800/88/r2/final" TargetMode="External" /><Relationship Type="http://schemas.openxmlformats.org/officeDocument/2006/relationships/hyperlink" Id="rId24" Target="https://kston83.github.io/nist-guide/templates/forms/media-sanitization-record/" TargetMode="External" /><Relationship Type="http://schemas.openxmlformats.org/officeDocument/2006/relationships/hyperlink" Id="rId34" Target="https://kston83.github.io/nist-guide/templates/policies/ac/" TargetMode="External" /><Relationship Type="http://schemas.openxmlformats.org/officeDocument/2006/relationships/hyperlink" Id="rId31" Target="https://kston83.github.io/nist-guide/templates/policies/ma/" TargetMode="External" /><Relationship Type="http://schemas.openxmlformats.org/officeDocument/2006/relationships/hyperlink" Id="rId9" Target="https://kston83.github.io/nist-guide/templates/policies/mp/" TargetMode="External" /><Relationship Type="http://schemas.openxmlformats.org/officeDocument/2006/relationships/hyperlink" Id="rId19" Target="https://kston83.github.io/nist-guide/templates/standards/encryption-and-key-management-standard/"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25" Target="https://www.ecfr.gov/current/title-32/section-2002.14" TargetMode="External" /><Relationship Type="http://schemas.openxmlformats.org/officeDocument/2006/relationships/hyperlink" Id="rId21" Target="https://www.ecfr.gov/current/title-32/section-2002.20" TargetMode="External" /><Relationship Type="http://schemas.openxmlformats.org/officeDocument/2006/relationships/hyperlink" Id="rId3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