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media-protection-policy"/>
    <w:p>
      <w:pPr>
        <w:pStyle w:val="Heading1"/>
      </w:pPr>
      <w:r>
        <w:t xml:space="preserve">Media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MP-1,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MP-1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Media Protection, and who is accountable for meeting those requirements. (MP-1a.1(a))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(MP-1a.1(a))</w:t>
      </w:r>
    </w:p>
    <w:p>
      <w:pPr>
        <w:pStyle w:val="Compact"/>
        <w:numPr>
          <w:ilvl w:val="0"/>
          <w:numId w:val="1001"/>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manage the development, documentation and dissemination of this policy and its procedures. (MP-1b)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(MP-1a.1(a))</w:t>
      </w:r>
    </w:p>
    <w:p>
      <w:pPr>
        <w:pStyle w:val="Compact"/>
        <w:numPr>
          <w:ilvl w:val="0"/>
          <w:numId w:val="1002"/>
        </w:numPr>
      </w:pPr>
      <w:r>
        <w:t xml:space="preserve">Violations of this policy shall be handled through the organization’s sanctions process. (MP-1a.1(a))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ensure that documented procedures exist to implement this policy and its associated controls. (MP-1a.2)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media protection policy is to be disseminated. Typical: everyone within its scope, through the policy library]</w:t>
      </w:r>
      <w:r>
        <w:t xml:space="preserve">. (MP-1a)</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media protection procedures are to be disseminated. Typical: the people who carry them out, and the system owners]</w:t>
      </w:r>
      <w:r>
        <w:t xml:space="preserve">. (MP-1a)</w:t>
      </w:r>
    </w:p>
    <w:bookmarkEnd w:id="18"/>
    <w:bookmarkStart w:id="25"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4" w:name="media-sanitization-mp-6"/>
    <w:p>
      <w:pPr>
        <w:pStyle w:val="Heading3"/>
      </w:pPr>
      <w:r>
        <w:t xml:space="preserve">Media sanitization (MP-6)</w:t>
      </w:r>
    </w:p>
    <w:p>
      <w:pPr>
        <w:pStyle w:val="Guidance"/>
      </w:pPr>
      <w:r>
        <w:t xml:space="preserve">NIST’s MP-6 discussion applies sanitization to all digital and non-digital media subject to disposal or reuse, removable or not, and names the storage in scanners, copiers, printers, notebook computers, workstations, network components and mobile devices.</w:t>
      </w:r>
      <w:r>
        <w:t xml:space="preserve"> </w:t>
      </w:r>
      <w:hyperlink r:id="rId19">
        <w:r>
          <w:rPr>
            <w:rStyle w:val="Hyperlink"/>
          </w:rPr>
          <w:t xml:space="preserve">NIST SP 800-88 Rev. 2</w:t>
        </w:r>
      </w:hyperlink>
      <w:r>
        <w:t xml:space="preserve">, Guidelines for Media Sanitization (September 2025, final; as of October 2026), defines three methods: clear (logical techniques against simple, non-invasive recovery), purge (recovery infeasible with state-of-the-art laboratory techniques, media possibly reusable) and destroy (recovery infeasible and the media unusable). It says purge should be used instead of clear when possible, and that the decision rests on the confidentiality of the information rather than the type of media; it points to the IEEE 2883 series for technique by media type. For cloud and other virtual storage, it notes that cryptographic erase may be the only purge option. It also advises against shredding or pulverizing storage devices for anything but the lowest security categories, since denser, harder media can survive them; paper can be shredded.</w:t>
      </w:r>
    </w:p>
    <w:p>
      <w:pPr>
        <w:pStyle w:val="Guidance"/>
      </w:pPr>
      <w:r>
        <w:t xml:space="preserve">The media sanitization procedure named below is the organization’s: a table of the media types in use with the method, technique, tool and verification for each, which the</w:t>
      </w:r>
      <w:r>
        <w:t xml:space="preserve"> </w:t>
      </w:r>
      <w:hyperlink r:id="rId20">
        <w:r>
          <w:rPr>
            <w:rStyle w:val="Hyperlink"/>
          </w:rPr>
          <w:t xml:space="preserve">media sanitization record</w:t>
        </w:r>
      </w:hyperlink>
      <w:r>
        <w:t xml:space="preserve"> </w:t>
      </w:r>
      <w:r>
        <w:t xml:space="preserve">provides. SP 800-88 Rev. 2 section 4.6 recommends a certificate of sanitization for each item, and the record’s register holds those details. Keep the values consistent with the</w:t>
      </w:r>
      <w:r>
        <w:t xml:space="preserve"> </w:t>
      </w:r>
      <w:hyperlink r:id="rId21">
        <w:r>
          <w:rPr>
            <w:rStyle w:val="Hyperlink"/>
          </w:rPr>
          <w:t xml:space="preserve">Maintenance policy</w:t>
        </w:r>
      </w:hyperlink>
      <w:r>
        <w:t xml:space="preserve">: equipment leaving for repair is sanitized first (MA-2d), and media that cannot be sanitized, such as a failed drive, stay with the organization.</w:t>
      </w:r>
    </w:p>
    <w:p>
      <w:pPr>
        <w:pStyle w:val="Compact"/>
        <w:numPr>
          <w:ilvl w:val="0"/>
          <w:numId w:val="1004"/>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004"/>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004"/>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004"/>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004"/>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004"/>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004"/>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004"/>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004"/>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004"/>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004"/>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23" w:name="federal-systems"/>
    <w:p>
      <w:pPr>
        <w:pStyle w:val="Heading4"/>
      </w:pPr>
      <w:r>
        <w:t xml:space="preserve">Federal systems</w:t>
      </w:r>
    </w:p>
    <w:p>
      <w:pPr>
        <w:pStyle w:val="FirstParagraph"/>
      </w:pPr>
      <w:r>
        <w:t xml:space="preserve">Under</w:t>
      </w:r>
      <w:r>
        <w:t xml:space="preserve"> </w:t>
      </w:r>
      <w:hyperlink r:id="rId22">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19">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005"/>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005"/>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005"/>
        </w:numPr>
      </w:pPr>
      <w:r>
        <w:t xml:space="preserve">Cryptographic erase shall rely only on encryption modules validated to the current FIPS 140 standard. (MP-6b)</w:t>
      </w:r>
    </w:p>
    <w:bookmarkEnd w:id="23"/>
    <w:bookmarkEnd w:id="24"/>
    <w:bookmarkEnd w:id="25"/>
    <w:bookmarkStart w:id="29" w:name="review-and-update"/>
    <w:p>
      <w:pPr>
        <w:pStyle w:val="Heading2"/>
      </w:pPr>
      <w:r>
        <w:t xml:space="preserve">Review and update</w:t>
      </w:r>
    </w:p>
    <w:p>
      <w:pPr>
        <w:pStyle w:val="Compact"/>
        <w:numPr>
          <w:ilvl w:val="0"/>
          <w:numId w:val="1006"/>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media protection policy is reviewed and updated. Typical: annually]</w:t>
      </w:r>
      <w:r>
        <w:t xml:space="preserve"> </w:t>
      </w:r>
      <w:r>
        <w:t xml:space="preserve">and following</w:t>
      </w:r>
      <w:r>
        <w:t xml:space="preserve"> </w:t>
      </w:r>
      <w:r>
        <w:rPr>
          <w:rStyle w:val="Fill-in"/>
        </w:rPr>
        <w:t xml:space="preserve">[Fill in: events that would require the current media protection policy to be reviewed and updated. Typical: assessment or audit findings, security incidents or breaches, and changes in applicable laws, executive orders, directives, regulations, policies, standards or guidelines]</w:t>
      </w:r>
      <w:r>
        <w:t xml:space="preserve">. (MP-1c.1)</w:t>
      </w:r>
    </w:p>
    <w:p>
      <w:pPr>
        <w:pStyle w:val="Compact"/>
        <w:numPr>
          <w:ilvl w:val="0"/>
          <w:numId w:val="1006"/>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media protection procedures are reviewed and updated. Typical: annually]</w:t>
      </w:r>
      <w:r>
        <w:t xml:space="preserve"> </w:t>
      </w:r>
      <w:r>
        <w:t xml:space="preserve">and following</w:t>
      </w:r>
      <w:r>
        <w:t xml:space="preserve"> </w:t>
      </w:r>
      <w:r>
        <w:rPr>
          <w:rStyle w:val="Fill-in"/>
        </w:rPr>
        <w:t xml:space="preserve">[Fill in: events that would require media protection procedures to be reviewed and updated. Typical: the same events as the policy, and changes to the systems, tools or services the procedures describe]</w:t>
      </w:r>
      <w:r>
        <w:t xml:space="preserve">. (MP-1c.2)</w:t>
      </w:r>
    </w:p>
    <w:bookmarkStart w:id="28"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6">
        <w:r>
          <w:rPr>
            <w:rStyle w:val="Hyperlink"/>
          </w:rPr>
          <w:t xml:space="preserve">44 U.S.C. § 3554</w:t>
        </w:r>
      </w:hyperlink>
      <w:r>
        <w:t xml:space="preserve">, Federal agency responsibilities) and</w:t>
      </w:r>
      <w:r>
        <w:t xml:space="preserve"> </w:t>
      </w:r>
      <w:hyperlink r:id="rId27">
        <w:r>
          <w:rPr>
            <w:rStyle w:val="Hyperlink"/>
          </w:rPr>
          <w:t xml:space="preserve">OMB Circular A-130</w:t>
        </w:r>
      </w:hyperlink>
      <w:r>
        <w:t xml:space="preserve">, Appendix I, Responsibilities for Protecting and Managing Federal Information Resources.</w:t>
      </w:r>
    </w:p>
    <w:p>
      <w:pPr>
        <w:pStyle w:val="Compact"/>
        <w:numPr>
          <w:ilvl w:val="0"/>
          <w:numId w:val="1007"/>
        </w:numPr>
      </w:pPr>
      <w:r>
        <w:t xml:space="preserve">Where the agency’s organization-wide policy sets a value for a parameter in this policy, each system shall use that value or a stricter one. (MP-1a.1(b))</w:t>
      </w:r>
    </w:p>
    <w:bookmarkEnd w:id="28"/>
    <w:bookmarkEnd w:id="29"/>
    <w:bookmarkEnd w:id="3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Media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sp/800/88/r2/final" TargetMode="External" /><Relationship Type="http://schemas.openxmlformats.org/officeDocument/2006/relationships/hyperlink" Id="rId20" Target="https://kston83.github.io/nist-guide/templates/forms/media-sanitization-record/" TargetMode="External" /><Relationship Type="http://schemas.openxmlformats.org/officeDocument/2006/relationships/hyperlink" Id="rId21" Target="https://kston83.github.io/nist-guide/templates/policies/ma/" TargetMode="External" /><Relationship Type="http://schemas.openxmlformats.org/officeDocument/2006/relationships/hyperlink" Id="rId9" Target="https://kston83.github.io/nist-guide/templates/policies/mp/" TargetMode="External" /><Relationship Type="http://schemas.openxmlformats.org/officeDocument/2006/relationships/hyperlink" Id="rId26" Target="https://uscode.house.gov/view.xhtml?req=granuleid:USC-prelim-title44-section3554&amp;num=0&amp;edition=prelim" TargetMode="External" /><Relationship Type="http://schemas.openxmlformats.org/officeDocument/2006/relationships/hyperlink" Id="rId22" Target="https://www.ecfr.gov/current/title-32/section-2002.14" TargetMode="External" /><Relationship Type="http://schemas.openxmlformats.org/officeDocument/2006/relationships/hyperlink" Id="rId2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sp/800/88/r2/final" TargetMode="External" /><Relationship Type="http://schemas.openxmlformats.org/officeDocument/2006/relationships/hyperlink" Id="rId20" Target="https://kston83.github.io/nist-guide/templates/forms/media-sanitization-record/" TargetMode="External" /><Relationship Type="http://schemas.openxmlformats.org/officeDocument/2006/relationships/hyperlink" Id="rId21" Target="https://kston83.github.io/nist-guide/templates/policies/ma/" TargetMode="External" /><Relationship Type="http://schemas.openxmlformats.org/officeDocument/2006/relationships/hyperlink" Id="rId9" Target="https://kston83.github.io/nist-guide/templates/policies/mp/" TargetMode="External" /><Relationship Type="http://schemas.openxmlformats.org/officeDocument/2006/relationships/hyperlink" Id="rId26" Target="https://uscode.house.gov/view.xhtml?req=granuleid:USC-prelim-title44-section3554&amp;num=0&amp;edition=prelim" TargetMode="External" /><Relationship Type="http://schemas.openxmlformats.org/officeDocument/2006/relationships/hyperlink" Id="rId22" Target="https://www.ecfr.gov/current/title-32/section-2002.14" TargetMode="External" /><Relationship Type="http://schemas.openxmlformats.org/officeDocument/2006/relationships/hyperlink" Id="rId2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