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5"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PE-1,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PE-1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60"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hysical-access-authorizations-pe-2"/>
    <w:p>
      <w:pPr>
        <w:pStyle w:val="Heading3"/>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19">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2" w:name="federal-systems"/>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2"/>
    <w:bookmarkEnd w:id="23"/>
    <w:bookmarkStart w:id="28" w:name="physical-access-control-pe-3"/>
    <w:p>
      <w:pPr>
        <w:pStyle w:val="Heading3"/>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24">
        <w:r>
          <w:rPr>
            <w:rStyle w:val="Hyperlink"/>
          </w:rPr>
          <w:t xml:space="preserve">visitor log</w:t>
        </w:r>
      </w:hyperlink>
      <w:r>
        <w:t xml:space="preserve"> </w:t>
      </w:r>
      <w:r>
        <w:t xml:space="preserve">records who escorted each visitor. The</w:t>
      </w:r>
      <w:r>
        <w:t xml:space="preserve"> </w:t>
      </w:r>
      <w:hyperlink r:id="rId19">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7" w:name="federal-systems-1"/>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5">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6">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7"/>
    <w:bookmarkEnd w:id="28"/>
    <w:bookmarkStart w:id="29" w:name="system-access-pe-31"/>
    <w:p>
      <w:pPr>
        <w:pStyle w:val="Heading3"/>
      </w:pPr>
      <w:r>
        <w:t xml:space="preserve">System access (PE-3(1))</w:t>
      </w:r>
    </w:p>
    <w:p>
      <w:pPr>
        <w:pStyle w:val="Guidance"/>
      </w:pPr>
      <w:r>
        <w:t xml:space="preserve">PE-3(1) is in the High baseline. NIST’s discussion of this enhancement says controlling physical access to the system adds protection for areas within facilities where system components are concentrated. In practice it is a second, separately authorized door: a badge that opens the building does not open the server room. Record those areas and who may enter them in the</w:t>
      </w:r>
      <w:r>
        <w:t xml:space="preserve"> </w:t>
      </w:r>
      <w:hyperlink r:id="rId19">
        <w:r>
          <w:rPr>
            <w:rStyle w:val="Hyperlink"/>
          </w:rPr>
          <w:t xml:space="preserve">physical access list</w:t>
        </w:r>
      </w:hyperlink>
      <w:r>
        <w:t xml:space="preserve">.</w:t>
      </w:r>
    </w:p>
    <w:p>
      <w:pPr>
        <w:pStyle w:val="Compact"/>
        <w:numPr>
          <w:ilvl w:val="0"/>
          <w:numId w:val="1008"/>
        </w:numPr>
      </w:pPr>
      <w:r>
        <w:t xml:space="preserve">The</w:t>
      </w:r>
      <w:r>
        <w:t xml:space="preserve"> </w:t>
      </w:r>
      <w:r>
        <w:rPr>
          <w:rStyle w:val="Fill-in"/>
        </w:rPr>
        <w:t xml:space="preserve">[Facilities manager]</w:t>
      </w:r>
      <w:r>
        <w:t xml:space="preserve"> </w:t>
      </w:r>
      <w:r>
        <w:t xml:space="preserve">shall enforce physical access authorizations to the system, in addition to the physical access controls for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(PE-3(1))</w:t>
      </w:r>
    </w:p>
    <w:p>
      <w:pPr>
        <w:pStyle w:val="Compact"/>
        <w:numPr>
          <w:ilvl w:val="0"/>
          <w:numId w:val="1008"/>
        </w:numPr>
      </w:pPr>
      <w:r>
        <w:t xml:space="preserve">Access to those spaces shall be authorized separately from facility access, approved by the</w:t>
      </w:r>
      <w:r>
        <w:t xml:space="preserve"> </w:t>
      </w:r>
      <w:r>
        <w:rPr>
          <w:rStyle w:val="Fill-in"/>
        </w:rPr>
        <w:t xml:space="preserve">[System owner]</w:t>
      </w:r>
      <w:r>
        <w:t xml:space="preserve">, and limited to individuals whose duties require it. (PE-3(1))</w:t>
      </w:r>
    </w:p>
    <w:bookmarkEnd w:id="29"/>
    <w:bookmarkStart w:id="30" w:name="access-control-for-transmission-pe-4"/>
    <w:p>
      <w:pPr>
        <w:pStyle w:val="Heading3"/>
      </w:pPr>
      <w:r>
        <w:t xml:space="preserve">Access control for transmission (PE-4)</w:t>
      </w:r>
    </w:p>
    <w:p>
      <w:pPr>
        <w:pStyle w:val="Guidance"/>
      </w:pPr>
      <w:r>
        <w:t xml:space="preserve">PE-4 is in the Moderate and High baselines. NIST’s PE-4 discussion says these controls prevent accidental damage, disruption and physical tampering, and may also be needed to prevent eavesdropping on or modification of unencrypted transmissions; it lists disconnected or locked spare jacks, locked wiring closets, cabling in conduit or cable trays, and wiretapping sensors. Encryption in transit (SC-8) reduces the eavesdropping risk but not damage or disruption, so PE-4 still applies. In shared buildings, the landlord’s riser and telecommunications rooms are often outside the organization’s control; record who controls them and what the lease or agreement requires.</w:t>
      </w:r>
    </w:p>
    <w:p>
      <w:pPr>
        <w:pStyle w:val="Compact"/>
        <w:numPr>
          <w:ilvl w:val="0"/>
          <w:numId w:val="1009"/>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009"/>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009"/>
        </w:numPr>
      </w:pPr>
      <w:r>
        <w:t xml:space="preserve">Wiring closets and telecommunications rooms shall be included in the physical access list, and entry to them recorded in the physical access logs. (PE-4)</w:t>
      </w:r>
    </w:p>
    <w:bookmarkEnd w:id="30"/>
    <w:bookmarkStart w:id="31" w:name="access-control-for-output-devices-pe-5"/>
    <w:p>
      <w:pPr>
        <w:pStyle w:val="Heading3"/>
      </w:pPr>
      <w:r>
        <w:t xml:space="preserve">Access control for output devices (PE-5)</w:t>
      </w:r>
    </w:p>
    <w:p>
      <w:pPr>
        <w:pStyle w:val="Guidance"/>
      </w:pPr>
      <w:r>
        <w:t xml:space="preserve">PE-5 is in the Moderate and High baselines. NIST’s PE-5 discussion lists the ways to control output: output devices in locked rooms or secured areas with keypad or card reader access, devices placed where personnel can monitor them, monitor or screen filters, and headphones. Its examples of output devices are monitors, printers, scanners, audio devices, fax machines and copiers. Secure print release, where a job prints only after the user authenticates at the device, is the usual way to meet PE-5 for shared printers. The storage inside multifunction printers and copiers is media, sanitized under the Media Protection Policy before the device leaves (MP-6).</w:t>
      </w:r>
    </w:p>
    <w:p>
      <w:pPr>
        <w:pStyle w:val="Compact"/>
        <w:numPr>
          <w:ilvl w:val="0"/>
          <w:numId w:val="1010"/>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010"/>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010"/>
        </w:numPr>
      </w:pPr>
      <w:r>
        <w:t xml:space="preserve">Monitors in reception and other areas visitors can see shall be positioned away from them or fitted with privacy filters. (PE-5)</w:t>
      </w:r>
    </w:p>
    <w:p>
      <w:pPr>
        <w:pStyle w:val="Compact"/>
        <w:numPr>
          <w:ilvl w:val="0"/>
          <w:numId w:val="1010"/>
        </w:numPr>
      </w:pPr>
      <w:r>
        <w:t xml:space="preserve">Users shall collect output promptly; uncollected output shall be removed and destroyed at least daily. (PE-5)</w:t>
      </w:r>
    </w:p>
    <w:bookmarkEnd w:id="31"/>
    <w:bookmarkStart w:id="33" w:name="monitoring-physical-access-pe-6"/>
    <w:p>
      <w:pPr>
        <w:pStyle w:val="Heading3"/>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32">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011"/>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11"/>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11"/>
        </w:numPr>
      </w:pPr>
      <w:r>
        <w:t xml:space="preserve">Each review shall be recorded with its date, the reviewer, the period covered and the anomalies found. (PE-6b)</w:t>
      </w:r>
    </w:p>
    <w:p>
      <w:pPr>
        <w:pStyle w:val="Compact"/>
        <w:numPr>
          <w:ilvl w:val="0"/>
          <w:numId w:val="1011"/>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33"/>
    <w:bookmarkStart w:id="34" w:name="X7bccf12b67d401329fb67228cb284c3049dfa82"/>
    <w:p>
      <w:pPr>
        <w:pStyle w:val="Heading3"/>
      </w:pPr>
      <w:r>
        <w:t xml:space="preserve">Intrusion alarms and surveillance equipment (PE-6(1))</w:t>
      </w:r>
    </w:p>
    <w:p>
      <w:pPr>
        <w:pStyle w:val="Guidance"/>
      </w:pPr>
      <w:r>
        <w:t xml:space="preserve">PE-6(1) is in the Moderate and High baselines. NIST’s discussion of this enhancement says intrusion alarms alert security personnel when unauthorized access is attempted, working with barriers, access control systems and guards by triggering a response when they are breached; sensors include motion, contact and glass-break sensors, and surveillance equipment includes cameras at strategic locations. Keep video only as long as the records schedule allows, and treat recordings as personally identifiable information.</w:t>
      </w:r>
    </w:p>
    <w:p>
      <w:pPr>
        <w:pStyle w:val="Compact"/>
        <w:numPr>
          <w:ilvl w:val="0"/>
          <w:numId w:val="1012"/>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012"/>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012"/>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012"/>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34"/>
    <w:bookmarkStart w:id="35" w:name="X9de196770133449ec703ad076ecf625d8fe2c9d"/>
    <w:p>
      <w:pPr>
        <w:pStyle w:val="Heading3"/>
      </w:pPr>
      <w:r>
        <w:t xml:space="preserve">Monitoring physical access to systems (PE-6(4))</w:t>
      </w:r>
    </w:p>
    <w:p>
      <w:pPr>
        <w:pStyle w:val="Guidance"/>
      </w:pPr>
      <w:r>
        <w:t xml:space="preserve">PE-6(4) is in the High baseline. NIST’s discussion of this enhancement says it adds monitoring for areas where system components are concentrated, such as server rooms, media storage areas and communications centers, and that physical access monitoring can be coordinated with intrusion detection and system monitoring. Use the same spaces as PE-3(1), so every area with its own access control also has its own monitoring.</w:t>
      </w:r>
    </w:p>
    <w:p>
      <w:pPr>
        <w:pStyle w:val="Compact"/>
        <w:numPr>
          <w:ilvl w:val="0"/>
          <w:numId w:val="1013"/>
        </w:numPr>
      </w:pPr>
      <w:r>
        <w:t xml:space="preserve">The</w:t>
      </w:r>
      <w:r>
        <w:t xml:space="preserve"> </w:t>
      </w:r>
      <w:r>
        <w:rPr>
          <w:rStyle w:val="Fill-in"/>
        </w:rPr>
        <w:t xml:space="preserve">[Facilities manager]</w:t>
      </w:r>
      <w:r>
        <w:t xml:space="preserve"> </w:t>
      </w:r>
      <w:r>
        <w:t xml:space="preserve">shall monitor physical access to the system, in addition to the physical access monitoring of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(PE-6(4))</w:t>
      </w:r>
    </w:p>
    <w:p>
      <w:pPr>
        <w:pStyle w:val="Compact"/>
        <w:numPr>
          <w:ilvl w:val="0"/>
          <w:numId w:val="1013"/>
        </w:numPr>
      </w:pPr>
      <w:r>
        <w:t xml:space="preserve">Physical access events for those spaces shall be sent to the</w:t>
      </w:r>
      <w:r>
        <w:t xml:space="preserve"> </w:t>
      </w:r>
      <w:r>
        <w:rPr>
          <w:rStyle w:val="Fill-in"/>
        </w:rPr>
        <w:t xml:space="preserve">[Security operations team]</w:t>
      </w:r>
      <w:r>
        <w:t xml:space="preserve"> </w:t>
      </w:r>
      <w:r>
        <w:t xml:space="preserve">and correlated with system monitoring. (PE-6(4))</w:t>
      </w:r>
    </w:p>
    <w:bookmarkEnd w:id="35"/>
    <w:bookmarkStart w:id="38" w:name="visitor-access-records-pe-8"/>
    <w:p>
      <w:pPr>
        <w:pStyle w:val="Heading3"/>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24">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01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1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1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1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7" w:name="federal-systems-2"/>
    <w:p>
      <w:pPr>
        <w:pStyle w:val="Heading4"/>
      </w:pPr>
      <w:r>
        <w:t xml:space="preserve">Federal systems</w:t>
      </w:r>
    </w:p>
    <w:p>
      <w:pPr>
        <w:pStyle w:val="FirstParagraph"/>
      </w:pPr>
      <w:r>
        <w:t xml:space="preserve">The National Archives and Records Administration’s</w:t>
      </w:r>
      <w:r>
        <w:t xml:space="preserve"> </w:t>
      </w:r>
      <w:hyperlink r:id="rId36">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7"/>
    <w:bookmarkEnd w:id="38"/>
    <w:bookmarkStart w:id="39" w:name="Xd88b3d6ba727cbaf11386ab2c7d2089cd75b11d"/>
    <w:p>
      <w:pPr>
        <w:pStyle w:val="Heading3"/>
      </w:pPr>
      <w:r>
        <w:t xml:space="preserve">Automated records maintenance and review (PE-8(1))</w:t>
      </w:r>
    </w:p>
    <w:p>
      <w:pPr>
        <w:pStyle w:val="Guidance"/>
      </w:pPr>
      <w:r>
        <w:t xml:space="preserve">PE-8(1) is in the High baseline. NIST’s discussion of this enhancement says visitor access records may be kept in a database accessible to organizational personnel, and that automated access makes regular reviews easier. An electronic visitor management system that prints the visitor badge and records the escort meets the maintenance half; the review half needs reports, such as open visits and badges not returned, that someone reads on the PE-8 schedule.</w:t>
      </w:r>
    </w:p>
    <w:p>
      <w:pPr>
        <w:pStyle w:val="Compact"/>
        <w:numPr>
          <w:ilvl w:val="0"/>
          <w:numId w:val="1016"/>
        </w:numPr>
      </w:pPr>
      <w:r>
        <w:t xml:space="preserve">The</w:t>
      </w:r>
      <w:r>
        <w:t xml:space="preserve"> </w:t>
      </w:r>
      <w:r>
        <w:rPr>
          <w:rStyle w:val="Fill-in"/>
        </w:rPr>
        <w:t xml:space="preserve">[Facilities manager]</w:t>
      </w:r>
      <w:r>
        <w:t xml:space="preserve"> </w:t>
      </w:r>
      <w:r>
        <w:t xml:space="preserve">shall maintain visitor access records using</w:t>
      </w:r>
      <w:r>
        <w:t xml:space="preserve"> </w:t>
      </w:r>
      <w:r>
        <w:rPr>
          <w:rStyle w:val="Fill-in"/>
        </w:rPr>
        <w:t xml:space="preserve">[Fill in: automated mechanisms used to maintain visitor access records. Typical: an electronic visitor management system]</w:t>
      </w:r>
      <w:r>
        <w:t xml:space="preserve">. (PE-8(1))</w:t>
      </w:r>
    </w:p>
    <w:p>
      <w:pPr>
        <w:pStyle w:val="Compact"/>
        <w:numPr>
          <w:ilvl w:val="0"/>
          <w:numId w:val="1016"/>
        </w:numPr>
      </w:pPr>
      <w:r>
        <w:t xml:space="preserve">The</w:t>
      </w:r>
      <w:r>
        <w:t xml:space="preserve"> </w:t>
      </w:r>
      <w:r>
        <w:rPr>
          <w:rStyle w:val="Fill-in"/>
        </w:rPr>
        <w:t xml:space="preserve">[Facilities manager]</w:t>
      </w:r>
      <w:r>
        <w:t xml:space="preserve"> </w:t>
      </w:r>
      <w:r>
        <w:t xml:space="preserve">shall review visitor access records using</w:t>
      </w:r>
      <w:r>
        <w:t xml:space="preserve"> </w:t>
      </w:r>
      <w:r>
        <w:rPr>
          <w:rStyle w:val="Fill-in"/>
        </w:rPr>
        <w:t xml:space="preserve">[Fill in: automated mechanisms used to review visitor access records. Typical: the visitor management system’s reports, compared with the physical access control system’s logs]</w:t>
      </w:r>
      <w:r>
        <w:t xml:space="preserve">. (PE-8(1))</w:t>
      </w:r>
    </w:p>
    <w:bookmarkEnd w:id="39"/>
    <w:bookmarkStart w:id="40" w:name="power-equipment-and-cabling-pe-9"/>
    <w:p>
      <w:pPr>
        <w:pStyle w:val="Heading3"/>
      </w:pPr>
      <w:r>
        <w:t xml:space="preserve">Power equipment and cabling (PE-9)</w:t>
      </w:r>
    </w:p>
    <w:p>
      <w:pPr>
        <w:pStyle w:val="Guidance"/>
      </w:pPr>
      <w:r>
        <w:t xml:space="preserve">PE-9 is in the Moderate and High baselines. NIST’s PE-9 discussion has organizations decide the protection needed for power equipment and cabling inside and outside their facilities, such as internal cabling and uninterruptible power supplies in offices or data centers, and generators and power cabling outside buildings. For a system hosted by a provider, PE-9 is inherited for the provider’s facility.</w:t>
      </w:r>
    </w:p>
    <w:p>
      <w:pPr>
        <w:pStyle w:val="Compact"/>
        <w:numPr>
          <w:ilvl w:val="0"/>
          <w:numId w:val="1017"/>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017"/>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017"/>
        </w:numPr>
      </w:pPr>
      <w:r>
        <w:t xml:space="preserve">Power cabling shall be routed and labeled so that it is protected from accidental damage, kept separate from data cabling where practical, and not run across walkways. (PE-9)</w:t>
      </w:r>
    </w:p>
    <w:p>
      <w:pPr>
        <w:pStyle w:val="Compact"/>
        <w:numPr>
          <w:ilvl w:val="0"/>
          <w:numId w:val="1017"/>
        </w:numPr>
      </w:pPr>
      <w:r>
        <w:t xml:space="preserve">Power equipment shall be maintained as the manufacturer specifies, and the maintenance recorded. (PE-9)</w:t>
      </w:r>
    </w:p>
    <w:bookmarkEnd w:id="40"/>
    <w:bookmarkStart w:id="41" w:name="emergency-shutoff-pe-10"/>
    <w:p>
      <w:pPr>
        <w:pStyle w:val="Heading3"/>
      </w:pPr>
      <w:r>
        <w:t xml:space="preserve">Emergency shutoff (PE-10)</w:t>
      </w:r>
    </w:p>
    <w:p>
      <w:pPr>
        <w:pStyle w:val="Guidance"/>
      </w:pPr>
      <w:r>
        <w:t xml:space="preserve">PE-10 is in the Moderate and High baselines. NIST’s PE-10 discussion says emergency power shutoff applies mainly to facilities with concentrations of system resources, such as data centers, mainframe rooms, server rooms and areas with computer-controlled machinery. An office with no server room usually has nothing to which PE-10 applies beyond the building’s own electrical controls; say so in the system security plan rather than leaving it blank. Accidental activation is the common finding: an unguarded button beside a door that someone mistakes for a door release.</w:t>
      </w:r>
    </w:p>
    <w:p>
      <w:pPr>
        <w:pStyle w:val="Compact"/>
        <w:numPr>
          <w:ilvl w:val="0"/>
          <w:numId w:val="1018"/>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018"/>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018"/>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018"/>
        </w:numPr>
      </w:pPr>
      <w:r>
        <w:t xml:space="preserve">Staff who work in those areas shall be shown the shutoff locations and told when to use them. (PE-10b)</w:t>
      </w:r>
    </w:p>
    <w:bookmarkEnd w:id="41"/>
    <w:bookmarkStart w:id="44" w:name="emergency-power-pe-11"/>
    <w:p>
      <w:pPr>
        <w:pStyle w:val="Heading3"/>
      </w:pPr>
      <w:r>
        <w:t xml:space="preserve">Emergency power (PE-11)</w:t>
      </w:r>
    </w:p>
    <w:p>
      <w:pPr>
        <w:pStyle w:val="Guidance"/>
      </w:pPr>
      <w:r>
        <w:t xml:space="preserve">PE-11 is in the Moderate and High baselines. NIST’s PE-11 discussion describes an uninterruptible power supply (UPS) as near-instantaneous protection from power interruptions, from batteries, supercapacitors or flywheels, with a short duration that gives time to start a standby source such as a generator or to shut the system down properly. Choose the selection from the</w:t>
      </w:r>
      <w:r>
        <w:t xml:space="preserve"> </w:t>
      </w:r>
      <w:hyperlink r:id="rId42">
        <w:r>
          <w:rPr>
            <w:rStyle w:val="Hyperlink"/>
          </w:rPr>
          <w:t xml:space="preserve">business impact analysis</w:t>
        </w:r>
      </w:hyperlink>
      <w:r>
        <w:t xml:space="preserve">: if the system’s recovery time objective tolerates waiting for power to return, an orderly shutdown is enough; if not, the UPS must carry the load until long-term alternate power takes over, and the</w:t>
      </w:r>
      <w:r>
        <w:t xml:space="preserve"> </w:t>
      </w:r>
      <w:hyperlink r:id="rId43">
        <w:r>
          <w:rPr>
            <w:rStyle w:val="Hyperlink"/>
          </w:rPr>
          <w:t xml:space="preserve">contingency plan</w:t>
        </w:r>
      </w:hyperlink>
      <w:r>
        <w:t xml:space="preserve"> </w:t>
      </w:r>
      <w:r>
        <w:t xml:space="preserve">should say how. High systems add PE-11(1). For a system hosted by a provider, PE-11 is inherited.</w:t>
      </w:r>
    </w:p>
    <w:p>
      <w:pPr>
        <w:pStyle w:val="Compact"/>
        <w:numPr>
          <w:ilvl w:val="0"/>
          <w:numId w:val="1019"/>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019"/>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019"/>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019"/>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44"/>
    <w:bookmarkStart w:id="45" w:name="X75efbc56e6d85add9035ed9fda1d63a7af8f254"/>
    <w:p>
      <w:pPr>
        <w:pStyle w:val="Heading3"/>
      </w:pPr>
      <w:r>
        <w:t xml:space="preserve">Alternate power supply — minimal operational capability (PE-11(1))</w:t>
      </w:r>
    </w:p>
    <w:p>
      <w:pPr>
        <w:pStyle w:val="Guidance"/>
      </w:pPr>
      <w:r>
        <w:t xml:space="preserve">PE-11(1) is in the High baseline. NIST’s discussion of this enhancement says it can be met by a secondary commercial power supply or another external power supply. A generator with an automatic transfer switch is the usual way; size it and its fuel for the minimally required operational capability the contingency plan defines.</w:t>
      </w:r>
    </w:p>
    <w:p>
      <w:pPr>
        <w:pStyle w:val="Compact"/>
        <w:numPr>
          <w:ilvl w:val="0"/>
          <w:numId w:val="1020"/>
        </w:numPr>
      </w:pPr>
      <w:r>
        <w:t xml:space="preserve">The</w:t>
      </w:r>
      <w:r>
        <w:t xml:space="preserve"> </w:t>
      </w:r>
      <w:r>
        <w:rPr>
          <w:rStyle w:val="Fill-in"/>
        </w:rPr>
        <w:t xml:space="preserve">[Facilities manager]</w:t>
      </w:r>
      <w:r>
        <w:t xml:space="preserve"> </w:t>
      </w:r>
      <w:r>
        <w:t xml:space="preserve">shall provide an alternate power supply for the system that is activated</w:t>
      </w:r>
      <w:r>
        <w:t xml:space="preserve"> </w:t>
      </w:r>
      <w:r>
        <w:rPr>
          <w:rStyle w:val="Fill-in"/>
        </w:rPr>
        <w:t xml:space="preserve">[Select one: manually; automatically. Typical: automatically]</w:t>
      </w:r>
      <w:r>
        <w:t xml:space="preserve"> </w:t>
      </w:r>
      <w:r>
        <w:t xml:space="preserve">and that can maintain minimally required operational capability in the event of an extended loss of the primary power source. (PE-11(1))</w:t>
      </w:r>
    </w:p>
    <w:p>
      <w:pPr>
        <w:pStyle w:val="Compact"/>
        <w:numPr>
          <w:ilvl w:val="0"/>
          <w:numId w:val="1020"/>
        </w:numPr>
      </w:pPr>
      <w:r>
        <w:t xml:space="preserve">The</w:t>
      </w:r>
      <w:r>
        <w:t xml:space="preserve"> </w:t>
      </w:r>
      <w:r>
        <w:rPr>
          <w:rStyle w:val="Fill-in"/>
        </w:rPr>
        <w:t xml:space="preserve">[System owner]</w:t>
      </w:r>
      <w:r>
        <w:t xml:space="preserve"> </w:t>
      </w:r>
      <w:r>
        <w:t xml:space="preserve">shall define the minimally required operational capability in the contingency plan, and the</w:t>
      </w:r>
      <w:r>
        <w:t xml:space="preserve"> </w:t>
      </w:r>
      <w:r>
        <w:rPr>
          <w:rStyle w:val="Fill-in"/>
        </w:rPr>
        <w:t xml:space="preserve">[Facilities manager]</w:t>
      </w:r>
      <w:r>
        <w:t xml:space="preserve"> </w:t>
      </w:r>
      <w:r>
        <w:t xml:space="preserve">shall keep fuel or supply contracts sufficient to sustain it for the outage duration the plan assumes. (PE-11(1))</w:t>
      </w:r>
    </w:p>
    <w:bookmarkEnd w:id="45"/>
    <w:bookmarkStart w:id="46" w:name="emergency-lighting-pe-12"/>
    <w:p>
      <w:pPr>
        <w:pStyle w:val="Heading3"/>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021"/>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21"/>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21"/>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46"/>
    <w:bookmarkStart w:id="47" w:name="fire-protection-pe-13"/>
    <w:p>
      <w:pPr>
        <w:pStyle w:val="Heading3"/>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022"/>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22"/>
        </w:numPr>
      </w:pPr>
      <w:r>
        <w:t xml:space="preserve">Fire detection and suppression systems shall be inspected, tested and maintained as the applicable fire code and the manufacturer require, and the records kept. (PE-13)</w:t>
      </w:r>
    </w:p>
    <w:p>
      <w:pPr>
        <w:pStyle w:val="Compact"/>
        <w:numPr>
          <w:ilvl w:val="0"/>
          <w:numId w:val="1022"/>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47"/>
    <w:bookmarkStart w:id="48" w:name="X8509ce78cf9e0b77ab35880d1fd09a289d534af"/>
    <w:p>
      <w:pPr>
        <w:pStyle w:val="Heading3"/>
      </w:pPr>
      <w:r>
        <w:t xml:space="preserve">Detection systems — automatic activation and notification (PE-13(1))</w:t>
      </w:r>
    </w:p>
    <w:p>
      <w:pPr>
        <w:pStyle w:val="Guidance"/>
      </w:pPr>
      <w:r>
        <w:t xml:space="preserve">PE-13(1) is in the Moderate and High baselines. NIST’s discussion of this enhancement says organizations can name personnel, roles and emergency responders when people on the notification list need access authorizations or clearances to enter restricted facilities, and that notification mechanisms may need independent energy sources so a fire does not disable them. Check the notification path in the annual fire system test.</w:t>
      </w:r>
    </w:p>
    <w:p>
      <w:pPr>
        <w:pStyle w:val="Compact"/>
        <w:numPr>
          <w:ilvl w:val="0"/>
          <w:numId w:val="1023"/>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023"/>
        </w:numPr>
      </w:pPr>
      <w:r>
        <w:t xml:space="preserve">The notification path shall have power independent of the facility’s main supply, and shall be tested with the fire detection system. (PE-13(1))</w:t>
      </w:r>
    </w:p>
    <w:bookmarkEnd w:id="48"/>
    <w:bookmarkStart w:id="49" w:name="Xad479a28145ad1385031011c83471e6fca97c69"/>
    <w:p>
      <w:pPr>
        <w:pStyle w:val="Heading3"/>
      </w:pPr>
      <w:r>
        <w:t xml:space="preserve">Suppression systems — automatic activation and notification (PE-13(2))</w:t>
      </w:r>
    </w:p>
    <w:p>
      <w:pPr>
        <w:pStyle w:val="Guidance"/>
      </w:pPr>
      <w:r>
        <w:t xml:space="preserve">PE-13(2) is in the High baseline. NIST’s discussion of this enhancement matches PE-13(1)’s: name personnel and responders where access authorizations are needed to enter, and give the notification mechanism an independent energy source. Use the same notification list as PE-13(1).</w:t>
      </w:r>
    </w:p>
    <w:p>
      <w:pPr>
        <w:pStyle w:val="Compact"/>
        <w:numPr>
          <w:ilvl w:val="0"/>
          <w:numId w:val="1024"/>
        </w:numPr>
      </w:pPr>
      <w:r>
        <w:t xml:space="preserve">The</w:t>
      </w:r>
      <w:r>
        <w:t xml:space="preserve"> </w:t>
      </w:r>
      <w:r>
        <w:rPr>
          <w:rStyle w:val="Fill-in"/>
        </w:rPr>
        <w:t xml:space="preserve">[Facilities manager]</w:t>
      </w:r>
      <w:r>
        <w:t xml:space="preserve"> </w:t>
      </w:r>
      <w:r>
        <w:t xml:space="preserve">shall employ fire suppression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(PE-13(2)(a))</w:t>
      </w:r>
    </w:p>
    <w:p>
      <w:pPr>
        <w:pStyle w:val="Compact"/>
        <w:numPr>
          <w:ilvl w:val="0"/>
          <w:numId w:val="1024"/>
        </w:numPr>
      </w:pPr>
      <w:r>
        <w:t xml:space="preserve">The</w:t>
      </w:r>
      <w:r>
        <w:t xml:space="preserve"> </w:t>
      </w:r>
      <w:r>
        <w:rPr>
          <w:rStyle w:val="Fill-in"/>
        </w:rPr>
        <w:t xml:space="preserve">[Facilities manager]</w:t>
      </w:r>
      <w:r>
        <w:t xml:space="preserve"> </w:t>
      </w:r>
      <w:r>
        <w:t xml:space="preserve">shall employ an automatic fire suppression capability when the facility is not staffed on a continuous basis. (PE-13(2)(b))</w:t>
      </w:r>
    </w:p>
    <w:bookmarkEnd w:id="49"/>
    <w:bookmarkStart w:id="50" w:name="environmental-controls-pe-14"/>
    <w:p>
      <w:pPr>
        <w:pStyle w:val="Heading3"/>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025"/>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25"/>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25"/>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25"/>
        </w:numPr>
      </w:pPr>
      <w:r>
        <w:t xml:space="preserve">Cooling for areas that contain system components shall run independently of the building’s office schedule, with enough capacity or redundancy that the loss of one unit does not take the room out of range. (PE-14a)</w:t>
      </w:r>
    </w:p>
    <w:bookmarkEnd w:id="50"/>
    <w:bookmarkStart w:id="51" w:name="water-damage-protection-pe-15"/>
    <w:p>
      <w:pPr>
        <w:pStyle w:val="Heading3"/>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026"/>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26"/>
        </w:numPr>
      </w:pPr>
      <w:r>
        <w:t xml:space="preserve">The valves shall be labeled, shown on a facility plan kept with the contingency plan, kept clear of obstructions, and exercised at least annually. (PE-15)</w:t>
      </w:r>
    </w:p>
    <w:p>
      <w:pPr>
        <w:pStyle w:val="Compact"/>
        <w:numPr>
          <w:ilvl w:val="0"/>
          <w:numId w:val="1026"/>
        </w:numPr>
      </w:pPr>
      <w:r>
        <w:t xml:space="preserve">Key personnel, including the staff who work in areas that contain system components, shall be shown the valve locations and how to operate them. (PE-15)</w:t>
      </w:r>
    </w:p>
    <w:p>
      <w:pPr>
        <w:pStyle w:val="Compact"/>
        <w:numPr>
          <w:ilvl w:val="0"/>
          <w:numId w:val="1026"/>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51"/>
    <w:bookmarkStart w:id="52" w:name="automation-support-pe-151"/>
    <w:p>
      <w:pPr>
        <w:pStyle w:val="Heading3"/>
      </w:pPr>
      <w:r>
        <w:t xml:space="preserve">Automation support (PE-15(1))</w:t>
      </w:r>
    </w:p>
    <w:p>
      <w:pPr>
        <w:pStyle w:val="Guidance"/>
      </w:pPr>
      <w:r>
        <w:t xml:space="preserve">PE-15(1) is in the High baseline. NIST’s discussion of this enhancement lists notification systems, water detection sensors and alarms as automated mechanisms. Alert the same people as the environmental monitoring in PE-14, so one on-call path covers both.</w:t>
      </w:r>
    </w:p>
    <w:p>
      <w:pPr>
        <w:pStyle w:val="Compact"/>
        <w:numPr>
          <w:ilvl w:val="0"/>
          <w:numId w:val="1027"/>
        </w:numPr>
      </w:pPr>
      <w:r>
        <w:t xml:space="preserve">The</w:t>
      </w:r>
      <w:r>
        <w:t xml:space="preserve"> </w:t>
      </w:r>
      <w:r>
        <w:rPr>
          <w:rStyle w:val="Fill-in"/>
        </w:rPr>
        <w:t xml:space="preserve">[Facilities manager]</w:t>
      </w:r>
      <w:r>
        <w:t xml:space="preserve"> </w:t>
      </w:r>
      <w:r>
        <w:t xml:space="preserve">shall detect the presence of water near the system and alert</w:t>
      </w:r>
      <w:r>
        <w:t xml:space="preserve"> </w:t>
      </w:r>
      <w:r>
        <w:rPr>
          <w:rStyle w:val="Fill-in"/>
        </w:rPr>
        <w:t xml:space="preserve">[Fill in: personnel or roles to be alerted when the presence of water is detected near the system. Typical: the facilities manager and the operations staff on duty for the facility]</w:t>
      </w:r>
      <w:r>
        <w:t xml:space="preserve"> </w:t>
      </w:r>
      <w:r>
        <w:t xml:space="preserve">using</w:t>
      </w:r>
      <w:r>
        <w:t xml:space="preserve"> </w:t>
      </w:r>
      <w:r>
        <w:rPr>
          <w:rStyle w:val="Fill-in"/>
        </w:rPr>
        <w:t xml:space="preserve">[Fill in: automated mechanisms used to detect the presence of water near the system. Typical: water detection sensors under raised floors, near cooling units and below any pipes in areas that contain system components, connected to the building management or environmental monitoring system]</w:t>
      </w:r>
      <w:r>
        <w:t xml:space="preserve">. (PE-15(1))</w:t>
      </w:r>
    </w:p>
    <w:p>
      <w:pPr>
        <w:pStyle w:val="Compact"/>
        <w:numPr>
          <w:ilvl w:val="0"/>
          <w:numId w:val="1027"/>
        </w:numPr>
      </w:pPr>
      <w:r>
        <w:t xml:space="preserve">The water detection sensors and their alerts shall be tested at least annually. (PE-15(1))</w:t>
      </w:r>
    </w:p>
    <w:bookmarkEnd w:id="52"/>
    <w:bookmarkStart w:id="53" w:name="delivery-and-removal-pe-16"/>
    <w:p>
      <w:pPr>
        <w:pStyle w:val="Heading3"/>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028"/>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28"/>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28"/>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28"/>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28"/>
        </w:numPr>
      </w:pPr>
      <w:r>
        <w:t xml:space="preserve">Laptops and other devices issued to individuals may leave and return with their assigned user without a record of each trip, as long as they are recorded in the component inventory against that user. (PE-16a)</w:t>
      </w:r>
    </w:p>
    <w:bookmarkEnd w:id="53"/>
    <w:bookmarkStart w:id="58" w:name="alternate-work-site-pe-17"/>
    <w:p>
      <w:pPr>
        <w:pStyle w:val="Heading3"/>
      </w:pPr>
      <w:r>
        <w:t xml:space="preserve">Alternate work site (PE-17)</w:t>
      </w:r>
    </w:p>
    <w:p>
      <w:pPr>
        <w:pStyle w:val="Guidance"/>
      </w:pPr>
      <w:r>
        <w:t xml:space="preserve">PE-17 is in the Moderate and High baselines. NIST’s PE-17 discussion says alternate work sites include government facilities and employees’ private residences; that they are distinct from alternate processing sites but can serve as alternate locations during contingency operations; and that organizations can set different controls for different types of site. The controls here should match the</w:t>
      </w:r>
      <w:r>
        <w:t xml:space="preserve"> </w:t>
      </w:r>
      <w:hyperlink r:id="rId54">
        <w:r>
          <w:rPr>
            <w:rStyle w:val="Hyperlink"/>
          </w:rPr>
          <w:t xml:space="preserve">Rules of Behavior</w:t>
        </w:r>
      </w:hyperlink>
      <w:r>
        <w:t xml:space="preserve">, which every user signs, and the remote access requirements of the Access Control Policy (AC-17).</w:t>
      </w:r>
      <w:r>
        <w:t xml:space="preserve"> </w:t>
      </w:r>
      <w:hyperlink r:id="rId55">
        <w:r>
          <w:rPr>
            <w:rStyle w:val="Hyperlink"/>
          </w:rPr>
          <w:t xml:space="preserve">NIST SP 800-46 Rev. 2</w:t>
        </w:r>
      </w:hyperlink>
      <w:r>
        <w:t xml:space="preserve"> </w:t>
      </w:r>
      <w:r>
        <w:t xml:space="preserve">(July 2016), Guide to Enterprise Telework, Remote Access, and Bring Your Own Device (BYOD) Security, covers securing telework and remote access; Rev. 2 is the final version; a Rev. 3 pre-draft call for comments closed in October 2020, and csrc.nist.gov lists no later draft as of October 2026. Assessing effectiveness at homes is usually done through a self-assessment checklist and the endpoint management data for the devices used there, not site visits.</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029"/>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57" w:name="federal-systems-3"/>
    <w:p>
      <w:pPr>
        <w:pStyle w:val="Heading4"/>
      </w:pPr>
      <w:r>
        <w:t xml:space="preserve">Federal systems</w:t>
      </w:r>
    </w:p>
    <w:p>
      <w:pPr>
        <w:pStyle w:val="FirstParagraph"/>
      </w:pPr>
      <w:r>
        <w:t xml:space="preserve">Under</w:t>
      </w:r>
      <w:r>
        <w:t xml:space="preserve"> </w:t>
      </w:r>
      <w:hyperlink r:id="rId56">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030"/>
        </w:numPr>
      </w:pPr>
      <w:r>
        <w:t xml:space="preserve">No employee shall telework without the written telework agreement 5 U.S.C. § 6502(b)(2) requires, and the agreement shall reference the alternate work site controls in this policy. (PE-17a)</w:t>
      </w:r>
    </w:p>
    <w:p>
      <w:pPr>
        <w:pStyle w:val="Compact"/>
        <w:numPr>
          <w:ilvl w:val="0"/>
          <w:numId w:val="1030"/>
        </w:numPr>
      </w:pPr>
      <w:r>
        <w:t xml:space="preserve">Work from an overseas location shall be allowed only in the circumstances the agency’s telework policy enumerates under 5 U.S.C. § 6502(b)(6). (PE-17a)</w:t>
      </w:r>
    </w:p>
    <w:bookmarkEnd w:id="57"/>
    <w:bookmarkEnd w:id="58"/>
    <w:bookmarkStart w:id="59" w:name="location-of-system-components-pe-18"/>
    <w:p>
      <w:pPr>
        <w:pStyle w:val="Heading3"/>
      </w:pPr>
      <w:r>
        <w:t xml:space="preserve">Location of system components (PE-18)</w:t>
      </w:r>
    </w:p>
    <w:p>
      <w:pPr>
        <w:pStyle w:val="Guidance"/>
      </w:pPr>
      <w:r>
        <w:t xml:space="preserve">PE-18 is in the High baseline. NIST’s PE-18 discussion lists physical and environmental hazards, including floods, fires, tornadoes, earthquakes, hurricanes, terrorism, vandalism, an electromagnetic pulse and electrical interference, and asks organizations to consider entry points where unauthorized individuals, though not granted access, might be near systems, which can increase the risk of interception with wireless sniffers or microphones. Server rooms on a basement level below a water source, or beside a public corridor or loading dock, are the usual examples.</w:t>
      </w:r>
    </w:p>
    <w:p>
      <w:pPr>
        <w:pStyle w:val="Compact"/>
        <w:numPr>
          <w:ilvl w:val="0"/>
          <w:numId w:val="1031"/>
        </w:numPr>
      </w:pPr>
      <w:r>
        <w:t xml:space="preserve">The</w:t>
      </w:r>
      <w:r>
        <w:t xml:space="preserve"> </w:t>
      </w:r>
      <w:r>
        <w:rPr>
          <w:rStyle w:val="Fill-in"/>
        </w:rPr>
        <w:t xml:space="preserve">[Facilities manager]</w:t>
      </w:r>
      <w:r>
        <w:t xml:space="preserve"> </w:t>
      </w:r>
      <w:r>
        <w:t xml:space="preserve">and the</w:t>
      </w:r>
      <w:r>
        <w:t xml:space="preserve"> </w:t>
      </w:r>
      <w:r>
        <w:rPr>
          <w:rStyle w:val="Fill-in"/>
        </w:rPr>
        <w:t xml:space="preserve">[System owner]</w:t>
      </w:r>
      <w:r>
        <w:t xml:space="preserve"> </w:t>
      </w:r>
      <w:r>
        <w:t xml:space="preserve">shall position system components within the facility to minimize potential damage from</w:t>
      </w:r>
      <w:r>
        <w:t xml:space="preserve"> </w:t>
      </w:r>
      <w:r>
        <w:rPr>
          <w:rStyle w:val="Fill-in"/>
        </w:rPr>
        <w:t xml:space="preserve">[Fill in: physical and environmental hazards that could result in potential damage to system components within the facility. Typical: flooding, fire, water leaks from pipes and cooling, power disturbances and electrical interference, and the other hazards the risk assessment identifies for the site]</w:t>
      </w:r>
      <w:r>
        <w:t xml:space="preserve"> </w:t>
      </w:r>
      <w:r>
        <w:t xml:space="preserve">and to minimize the opportunity for unauthorized access. (PE-18)</w:t>
      </w:r>
    </w:p>
    <w:p>
      <w:pPr>
        <w:pStyle w:val="Compact"/>
        <w:numPr>
          <w:ilvl w:val="0"/>
          <w:numId w:val="1031"/>
        </w:numPr>
      </w:pPr>
      <w:r>
        <w:t xml:space="preserve">Areas that contain system components shall not adjoin public areas, delivery areas or exterior walls at ground level where an alternative exists, and the reasons for any exception shall be recorded with the risk assessment (RA-3). (PE-18)</w:t>
      </w:r>
    </w:p>
    <w:bookmarkEnd w:id="59"/>
    <w:bookmarkEnd w:id="60"/>
    <w:bookmarkStart w:id="64" w:name="review-and-update"/>
    <w:p>
      <w:pPr>
        <w:pStyle w:val="Heading2"/>
      </w:pPr>
      <w:r>
        <w:t xml:space="preserve">Review and update</w:t>
      </w:r>
    </w:p>
    <w:p>
      <w:pPr>
        <w:pStyle w:val="Compact"/>
        <w:numPr>
          <w:ilvl w:val="0"/>
          <w:numId w:val="1032"/>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32"/>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63"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1">
        <w:r>
          <w:rPr>
            <w:rStyle w:val="Hyperlink"/>
          </w:rPr>
          <w:t xml:space="preserve">44 U.S.C. § 3554</w:t>
        </w:r>
      </w:hyperlink>
      <w:r>
        <w:t xml:space="preserve">, Federal agency responsibilities) and</w:t>
      </w:r>
      <w:r>
        <w:t xml:space="preserve"> </w:t>
      </w:r>
      <w:hyperlink r:id="rId62">
        <w:r>
          <w:rPr>
            <w:rStyle w:val="Hyperlink"/>
          </w:rPr>
          <w:t xml:space="preserve">OMB Circular A-130</w:t>
        </w:r>
      </w:hyperlink>
      <w:r>
        <w:t xml:space="preserve">, Appendix I, Responsibilities for Protecting and Managing Federal Information Resources.</w:t>
      </w:r>
    </w:p>
    <w:p>
      <w:pPr>
        <w:pStyle w:val="Compact"/>
        <w:numPr>
          <w:ilvl w:val="0"/>
          <w:numId w:val="1033"/>
        </w:numPr>
      </w:pPr>
      <w:r>
        <w:t xml:space="preserve">Where the agency’s organization-wide policy sets a value for a parameter in this policy, each system shall use that value or a stricter one. (PE-1a.1(b))</w:t>
      </w:r>
    </w:p>
    <w:bookmarkEnd w:id="63"/>
    <w:bookmarkEnd w:id="64"/>
    <w:bookmarkEnd w:id="6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55" Target="https://csrc.nist.gov/pubs/sp/800/46/r2/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54" Target="https://kston83.github.io/nist-guide/templates/forms/rules-of-behavior/"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43" Target="https://kston83.github.io/nist-guide/templates/plans/contingency-plan/" TargetMode="External" /><Relationship Type="http://schemas.openxmlformats.org/officeDocument/2006/relationships/hyperlink" Id="rId32"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42" Target="https://kston83.github.io/nist-guide/templates/reports/business-impact-analysis/" TargetMode="External" /><Relationship Type="http://schemas.openxmlformats.org/officeDocument/2006/relationships/hyperlink" Id="rId61" Target="https://uscode.house.gov/view.xhtml?req=granuleid:USC-prelim-title44-section3554&amp;num=0&amp;edition=prelim" TargetMode="External" /><Relationship Type="http://schemas.openxmlformats.org/officeDocument/2006/relationships/hyperlink" Id="rId36"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56" Target="https://www.govinfo.gov/link/uscode/5/6502?link-type=html" TargetMode="External" /><Relationship Type="http://schemas.openxmlformats.org/officeDocument/2006/relationships/hyperlink" Id="rId6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55" Target="https://csrc.nist.gov/pubs/sp/800/46/r2/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54" Target="https://kston83.github.io/nist-guide/templates/forms/rules-of-behavior/"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43" Target="https://kston83.github.io/nist-guide/templates/plans/contingency-plan/" TargetMode="External" /><Relationship Type="http://schemas.openxmlformats.org/officeDocument/2006/relationships/hyperlink" Id="rId32"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42" Target="https://kston83.github.io/nist-guide/templates/reports/business-impact-analysis/" TargetMode="External" /><Relationship Type="http://schemas.openxmlformats.org/officeDocument/2006/relationships/hyperlink" Id="rId61" Target="https://uscode.house.gov/view.xhtml?req=granuleid:USC-prelim-title44-section3554&amp;num=0&amp;edition=prelim" TargetMode="External" /><Relationship Type="http://schemas.openxmlformats.org/officeDocument/2006/relationships/hyperlink" Id="rId36"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56" Target="https://www.govinfo.gov/link/uscode/5/6502?link-type=html" TargetMode="External" /><Relationship Type="http://schemas.openxmlformats.org/officeDocument/2006/relationships/hyperlink" Id="rId6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