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52" w:name="policy-statements"/>
    <w:p>
      <w:pPr>
        <w:pStyle w:val="Heading2"/>
      </w:pPr>
      <w:r>
        <w:t xml:space="preserve">Policy statements</w:t>
      </w:r>
    </w:p>
    <w:bookmarkStart w:id="21" w:name="physical-access-authorizations-pe-2"/>
    <w:p>
      <w:pPr>
        <w:pStyle w:val="Heading3"/>
      </w:pPr>
      <w:r>
        <w:t xml:space="preserve">Physical access authorizations (PE-2)</w:t>
      </w:r>
    </w:p>
    <w:p>
      <w:pPr>
        <w:pStyle w:val="Compact"/>
        <w:numPr>
          <w:ilvl w:val="0"/>
          <w:numId w:val="1004"/>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04"/>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04"/>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04"/>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04"/>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04"/>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0" w:name="federal-systems"/>
    <w:p>
      <w:pPr>
        <w:pStyle w:val="Heading4"/>
      </w:pPr>
      <w:r>
        <w:t xml:space="preserve">Federal systems</w:t>
      </w:r>
    </w:p>
    <w:p>
      <w:pPr>
        <w:pStyle w:val="FirstParagraph"/>
      </w:pPr>
      <w:hyperlink r:id="rId19">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05"/>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05"/>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0"/>
    <w:bookmarkEnd w:id="21"/>
    <w:bookmarkStart w:id="25" w:name="physical-access-control-pe-3"/>
    <w:p>
      <w:pPr>
        <w:pStyle w:val="Heading3"/>
      </w:pPr>
      <w:r>
        <w:t xml:space="preserve">Physical access control (PE-3)</w:t>
      </w:r>
    </w:p>
    <w:p>
      <w:pPr>
        <w:pStyle w:val="Compact"/>
        <w:numPr>
          <w:ilvl w:val="0"/>
          <w:numId w:val="1006"/>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06"/>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06"/>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06"/>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06"/>
        </w:numPr>
      </w:pPr>
      <w:r>
        <w:t xml:space="preserve">Visitor and temporary badges shall look different from permanent badges, shall be valid only for the day or the approved period, and shall be returned on departure. (PE-3d)</w:t>
      </w:r>
    </w:p>
    <w:p>
      <w:pPr>
        <w:pStyle w:val="Compact"/>
        <w:numPr>
          <w:ilvl w:val="0"/>
          <w:numId w:val="1006"/>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06"/>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06"/>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06"/>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4" w:name="federal-systems-1"/>
    <w:p>
      <w:pPr>
        <w:pStyle w:val="Heading4"/>
      </w:pPr>
      <w:r>
        <w:t xml:space="preserve">Federal systems</w:t>
      </w:r>
    </w:p>
    <w:p>
      <w:pPr>
        <w:pStyle w:val="FirstParagraph"/>
      </w:pPr>
      <w:hyperlink r:id="rId19">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2">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3">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07"/>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07"/>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4"/>
    <w:bookmarkEnd w:id="25"/>
    <w:bookmarkStart w:id="26" w:name="system-access-pe-31"/>
    <w:p>
      <w:pPr>
        <w:pStyle w:val="Heading3"/>
      </w:pPr>
      <w:r>
        <w:t xml:space="preserve">System access (PE-3(1))</w:t>
      </w:r>
    </w:p>
    <w:p>
      <w:pPr>
        <w:pStyle w:val="Compact"/>
        <w:numPr>
          <w:ilvl w:val="0"/>
          <w:numId w:val="1008"/>
        </w:numPr>
      </w:pPr>
      <w:r>
        <w:t xml:space="preserve">The</w:t>
      </w:r>
      <w:r>
        <w:t xml:space="preserve"> </w:t>
      </w:r>
      <w:r>
        <w:rPr>
          <w:rStyle w:val="Fill-in"/>
        </w:rPr>
        <w:t xml:space="preserve">[Facilities manager]</w:t>
      </w:r>
      <w:r>
        <w:t xml:space="preserve"> </w:t>
      </w:r>
      <w:r>
        <w:t xml:space="preserve">shall enforce physical access authorizations to the system, in addition to the physical access controls for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(PE-3(1))</w:t>
      </w:r>
    </w:p>
    <w:p>
      <w:pPr>
        <w:pStyle w:val="Compact"/>
        <w:numPr>
          <w:ilvl w:val="0"/>
          <w:numId w:val="1008"/>
        </w:numPr>
      </w:pPr>
      <w:r>
        <w:t xml:space="preserve">Access to those spaces shall be authorized separately from facility access, approved by the</w:t>
      </w:r>
      <w:r>
        <w:t xml:space="preserve"> </w:t>
      </w:r>
      <w:r>
        <w:rPr>
          <w:rStyle w:val="Fill-in"/>
        </w:rPr>
        <w:t xml:space="preserve">[System owner]</w:t>
      </w:r>
      <w:r>
        <w:t xml:space="preserve">, and limited to individuals whose duties require it. (PE-3(1))</w:t>
      </w:r>
    </w:p>
    <w:bookmarkEnd w:id="26"/>
    <w:bookmarkStart w:id="27" w:name="access-control-for-transmission-pe-4"/>
    <w:p>
      <w:pPr>
        <w:pStyle w:val="Heading3"/>
      </w:pPr>
      <w:r>
        <w:t xml:space="preserve">Access control for transmission (PE-4)</w:t>
      </w:r>
    </w:p>
    <w:p>
      <w:pPr>
        <w:pStyle w:val="Compact"/>
        <w:numPr>
          <w:ilvl w:val="0"/>
          <w:numId w:val="1009"/>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009"/>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009"/>
        </w:numPr>
      </w:pPr>
      <w:r>
        <w:t xml:space="preserve">Wiring closets and telecommunications rooms shall be included in the physical access list, and entry to them recorded in the physical access logs. (PE-4)</w:t>
      </w:r>
    </w:p>
    <w:bookmarkEnd w:id="27"/>
    <w:bookmarkStart w:id="28" w:name="access-control-for-output-devices-pe-5"/>
    <w:p>
      <w:pPr>
        <w:pStyle w:val="Heading3"/>
      </w:pPr>
      <w:r>
        <w:t xml:space="preserve">Access control for output devices (PE-5)</w:t>
      </w:r>
    </w:p>
    <w:p>
      <w:pPr>
        <w:pStyle w:val="Compact"/>
        <w:numPr>
          <w:ilvl w:val="0"/>
          <w:numId w:val="1010"/>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010"/>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010"/>
        </w:numPr>
      </w:pPr>
      <w:r>
        <w:t xml:space="preserve">Monitors in reception and other areas visitors can see shall be positioned away from them or fitted with privacy filters. (PE-5)</w:t>
      </w:r>
    </w:p>
    <w:p>
      <w:pPr>
        <w:pStyle w:val="Compact"/>
        <w:numPr>
          <w:ilvl w:val="0"/>
          <w:numId w:val="1010"/>
        </w:numPr>
      </w:pPr>
      <w:r>
        <w:t xml:space="preserve">Users shall collect output promptly; uncollected output shall be removed and destroyed at least daily. (PE-5)</w:t>
      </w:r>
    </w:p>
    <w:bookmarkEnd w:id="28"/>
    <w:bookmarkStart w:id="29" w:name="monitoring-physical-access-pe-6"/>
    <w:p>
      <w:pPr>
        <w:pStyle w:val="Heading3"/>
      </w:pPr>
      <w:r>
        <w:t xml:space="preserve">Monitoring physical access (PE-6)</w:t>
      </w:r>
    </w:p>
    <w:p>
      <w:pPr>
        <w:pStyle w:val="Compact"/>
        <w:numPr>
          <w:ilvl w:val="0"/>
          <w:numId w:val="1011"/>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11"/>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11"/>
        </w:numPr>
      </w:pPr>
      <w:r>
        <w:t xml:space="preserve">Each review shall be recorded with its date, the reviewer, the period covered and the anomalies found. (PE-6b)</w:t>
      </w:r>
    </w:p>
    <w:p>
      <w:pPr>
        <w:pStyle w:val="Compact"/>
        <w:numPr>
          <w:ilvl w:val="0"/>
          <w:numId w:val="1011"/>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29"/>
    <w:bookmarkStart w:id="30" w:name="X7bccf12b67d401329fb67228cb284c3049dfa82"/>
    <w:p>
      <w:pPr>
        <w:pStyle w:val="Heading3"/>
      </w:pPr>
      <w:r>
        <w:t xml:space="preserve">Intrusion alarms and surveillance equipment (PE-6(1))</w:t>
      </w:r>
    </w:p>
    <w:p>
      <w:pPr>
        <w:pStyle w:val="Compact"/>
        <w:numPr>
          <w:ilvl w:val="0"/>
          <w:numId w:val="1012"/>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012"/>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012"/>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012"/>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30"/>
    <w:bookmarkStart w:id="31" w:name="X9de196770133449ec703ad076ecf625d8fe2c9d"/>
    <w:p>
      <w:pPr>
        <w:pStyle w:val="Heading3"/>
      </w:pPr>
      <w:r>
        <w:t xml:space="preserve">Monitoring physical access to systems (PE-6(4))</w:t>
      </w:r>
    </w:p>
    <w:p>
      <w:pPr>
        <w:pStyle w:val="Compact"/>
        <w:numPr>
          <w:ilvl w:val="0"/>
          <w:numId w:val="1013"/>
        </w:numPr>
      </w:pPr>
      <w:r>
        <w:t xml:space="preserve">The</w:t>
      </w:r>
      <w:r>
        <w:t xml:space="preserve"> </w:t>
      </w:r>
      <w:r>
        <w:rPr>
          <w:rStyle w:val="Fill-in"/>
        </w:rPr>
        <w:t xml:space="preserve">[Facilities manager]</w:t>
      </w:r>
      <w:r>
        <w:t xml:space="preserve"> </w:t>
      </w:r>
      <w:r>
        <w:t xml:space="preserve">shall monitor physical access to the system, in addition to the physical access monitoring of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(PE-6(4))</w:t>
      </w:r>
    </w:p>
    <w:p>
      <w:pPr>
        <w:pStyle w:val="Compact"/>
        <w:numPr>
          <w:ilvl w:val="0"/>
          <w:numId w:val="1013"/>
        </w:numPr>
      </w:pPr>
      <w:r>
        <w:t xml:space="preserve">Physical access events for those spaces shall be sent to the</w:t>
      </w:r>
      <w:r>
        <w:t xml:space="preserve"> </w:t>
      </w:r>
      <w:r>
        <w:rPr>
          <w:rStyle w:val="Fill-in"/>
        </w:rPr>
        <w:t xml:space="preserve">[Security operations team]</w:t>
      </w:r>
      <w:r>
        <w:t xml:space="preserve"> </w:t>
      </w:r>
      <w:r>
        <w:t xml:space="preserve">and correlated with system monitoring. (PE-6(4))</w:t>
      </w:r>
    </w:p>
    <w:bookmarkEnd w:id="31"/>
    <w:bookmarkStart w:id="34" w:name="visitor-access-records-pe-8"/>
    <w:p>
      <w:pPr>
        <w:pStyle w:val="Heading3"/>
      </w:pPr>
      <w:r>
        <w:t xml:space="preserve">Visitor access records (PE-8)</w:t>
      </w:r>
    </w:p>
    <w:p>
      <w:pPr>
        <w:pStyle w:val="Compact"/>
        <w:numPr>
          <w:ilvl w:val="0"/>
          <w:numId w:val="1014"/>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14"/>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14"/>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14"/>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33" w:name="federal-systems-2"/>
    <w:p>
      <w:pPr>
        <w:pStyle w:val="Heading4"/>
      </w:pPr>
      <w:r>
        <w:t xml:space="preserve">Federal systems</w:t>
      </w:r>
    </w:p>
    <w:p>
      <w:pPr>
        <w:pStyle w:val="FirstParagraph"/>
      </w:pPr>
      <w:r>
        <w:t xml:space="preserve">The National Archives and Records Administration’s</w:t>
      </w:r>
      <w:r>
        <w:t xml:space="preserve"> </w:t>
      </w:r>
      <w:hyperlink r:id="rId32">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15"/>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33"/>
    <w:bookmarkEnd w:id="34"/>
    <w:bookmarkStart w:id="35" w:name="Xd88b3d6ba727cbaf11386ab2c7d2089cd75b11d"/>
    <w:p>
      <w:pPr>
        <w:pStyle w:val="Heading3"/>
      </w:pPr>
      <w:r>
        <w:t xml:space="preserve">Automated records maintenance and review (PE-8(1))</w:t>
      </w:r>
    </w:p>
    <w:p>
      <w:pPr>
        <w:pStyle w:val="Compact"/>
        <w:numPr>
          <w:ilvl w:val="0"/>
          <w:numId w:val="1016"/>
        </w:numPr>
      </w:pPr>
      <w:r>
        <w:t xml:space="preserve">The</w:t>
      </w:r>
      <w:r>
        <w:t xml:space="preserve"> </w:t>
      </w:r>
      <w:r>
        <w:rPr>
          <w:rStyle w:val="Fill-in"/>
        </w:rPr>
        <w:t xml:space="preserve">[Facilities manager]</w:t>
      </w:r>
      <w:r>
        <w:t xml:space="preserve"> </w:t>
      </w:r>
      <w:r>
        <w:t xml:space="preserve">shall maintain visitor access records using</w:t>
      </w:r>
      <w:r>
        <w:t xml:space="preserve"> </w:t>
      </w:r>
      <w:r>
        <w:rPr>
          <w:rStyle w:val="Fill-in"/>
        </w:rPr>
        <w:t xml:space="preserve">[Fill in: automated mechanisms used to maintain visitor access records. Typical: an electronic visitor management system]</w:t>
      </w:r>
      <w:r>
        <w:t xml:space="preserve">. (PE-8(1))</w:t>
      </w:r>
    </w:p>
    <w:p>
      <w:pPr>
        <w:pStyle w:val="Compact"/>
        <w:numPr>
          <w:ilvl w:val="0"/>
          <w:numId w:val="1016"/>
        </w:numPr>
      </w:pPr>
      <w:r>
        <w:t xml:space="preserve">The</w:t>
      </w:r>
      <w:r>
        <w:t xml:space="preserve"> </w:t>
      </w:r>
      <w:r>
        <w:rPr>
          <w:rStyle w:val="Fill-in"/>
        </w:rPr>
        <w:t xml:space="preserve">[Facilities manager]</w:t>
      </w:r>
      <w:r>
        <w:t xml:space="preserve"> </w:t>
      </w:r>
      <w:r>
        <w:t xml:space="preserve">shall review visitor access records using</w:t>
      </w:r>
      <w:r>
        <w:t xml:space="preserve"> </w:t>
      </w:r>
      <w:r>
        <w:rPr>
          <w:rStyle w:val="Fill-in"/>
        </w:rPr>
        <w:t xml:space="preserve">[Fill in: automated mechanisms used to review visitor access records. Typical: the visitor management system’s reports, compared with the physical access control system’s logs]</w:t>
      </w:r>
      <w:r>
        <w:t xml:space="preserve">. (PE-8(1))</w:t>
      </w:r>
    </w:p>
    <w:bookmarkEnd w:id="35"/>
    <w:bookmarkStart w:id="36" w:name="power-equipment-and-cabling-pe-9"/>
    <w:p>
      <w:pPr>
        <w:pStyle w:val="Heading3"/>
      </w:pPr>
      <w:r>
        <w:t xml:space="preserve">Power equipment and cabling (PE-9)</w:t>
      </w:r>
    </w:p>
    <w:p>
      <w:pPr>
        <w:pStyle w:val="Compact"/>
        <w:numPr>
          <w:ilvl w:val="0"/>
          <w:numId w:val="1017"/>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017"/>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017"/>
        </w:numPr>
      </w:pPr>
      <w:r>
        <w:t xml:space="preserve">Power cabling shall be routed and labeled so that it is protected from accidental damage, kept separate from data cabling where practical, and not run across walkways. (PE-9)</w:t>
      </w:r>
    </w:p>
    <w:p>
      <w:pPr>
        <w:pStyle w:val="Compact"/>
        <w:numPr>
          <w:ilvl w:val="0"/>
          <w:numId w:val="1017"/>
        </w:numPr>
      </w:pPr>
      <w:r>
        <w:t xml:space="preserve">Power equipment shall be maintained as the manufacturer specifies, and the maintenance recorded. (PE-9)</w:t>
      </w:r>
    </w:p>
    <w:bookmarkEnd w:id="36"/>
    <w:bookmarkStart w:id="37" w:name="emergency-shutoff-pe-10"/>
    <w:p>
      <w:pPr>
        <w:pStyle w:val="Heading3"/>
      </w:pPr>
      <w:r>
        <w:t xml:space="preserve">Emergency shutoff (PE-10)</w:t>
      </w:r>
    </w:p>
    <w:p>
      <w:pPr>
        <w:pStyle w:val="Compact"/>
        <w:numPr>
          <w:ilvl w:val="0"/>
          <w:numId w:val="1018"/>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018"/>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018"/>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018"/>
        </w:numPr>
      </w:pPr>
      <w:r>
        <w:t xml:space="preserve">Staff who work in those areas shall be shown the shutoff locations and told when to use them. (PE-10b)</w:t>
      </w:r>
    </w:p>
    <w:bookmarkEnd w:id="37"/>
    <w:bookmarkStart w:id="38" w:name="emergency-power-pe-11"/>
    <w:p>
      <w:pPr>
        <w:pStyle w:val="Heading3"/>
      </w:pPr>
      <w:r>
        <w:t xml:space="preserve">Emergency power (PE-11)</w:t>
      </w:r>
    </w:p>
    <w:p>
      <w:pPr>
        <w:pStyle w:val="Compact"/>
        <w:numPr>
          <w:ilvl w:val="0"/>
          <w:numId w:val="1019"/>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019"/>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019"/>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019"/>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38"/>
    <w:bookmarkStart w:id="39" w:name="X75efbc56e6d85add9035ed9fda1d63a7af8f254"/>
    <w:p>
      <w:pPr>
        <w:pStyle w:val="Heading3"/>
      </w:pPr>
      <w:r>
        <w:t xml:space="preserve">Alternate power supply — minimal operational capability (PE-11(1))</w:t>
      </w:r>
    </w:p>
    <w:p>
      <w:pPr>
        <w:pStyle w:val="Compact"/>
        <w:numPr>
          <w:ilvl w:val="0"/>
          <w:numId w:val="1020"/>
        </w:numPr>
      </w:pPr>
      <w:r>
        <w:t xml:space="preserve">The</w:t>
      </w:r>
      <w:r>
        <w:t xml:space="preserve"> </w:t>
      </w:r>
      <w:r>
        <w:rPr>
          <w:rStyle w:val="Fill-in"/>
        </w:rPr>
        <w:t xml:space="preserve">[Facilities manager]</w:t>
      </w:r>
      <w:r>
        <w:t xml:space="preserve"> </w:t>
      </w:r>
      <w:r>
        <w:t xml:space="preserve">shall provide an alternate power supply for the system that is activated</w:t>
      </w:r>
      <w:r>
        <w:t xml:space="preserve"> </w:t>
      </w:r>
      <w:r>
        <w:rPr>
          <w:rStyle w:val="Fill-in"/>
        </w:rPr>
        <w:t xml:space="preserve">[Select one: manually; automatically. Typical: automatically]</w:t>
      </w:r>
      <w:r>
        <w:t xml:space="preserve"> </w:t>
      </w:r>
      <w:r>
        <w:t xml:space="preserve">and that can maintain minimally required operational capability in the event of an extended loss of the primary power source. (PE-11(1))</w:t>
      </w:r>
    </w:p>
    <w:p>
      <w:pPr>
        <w:pStyle w:val="Compact"/>
        <w:numPr>
          <w:ilvl w:val="0"/>
          <w:numId w:val="1020"/>
        </w:numPr>
      </w:pPr>
      <w:r>
        <w:t xml:space="preserve">The</w:t>
      </w:r>
      <w:r>
        <w:t xml:space="preserve"> </w:t>
      </w:r>
      <w:r>
        <w:rPr>
          <w:rStyle w:val="Fill-in"/>
        </w:rPr>
        <w:t xml:space="preserve">[System owner]</w:t>
      </w:r>
      <w:r>
        <w:t xml:space="preserve"> </w:t>
      </w:r>
      <w:r>
        <w:t xml:space="preserve">shall define the minimally required operational capability in the contingency plan, and the</w:t>
      </w:r>
      <w:r>
        <w:t xml:space="preserve"> </w:t>
      </w:r>
      <w:r>
        <w:rPr>
          <w:rStyle w:val="Fill-in"/>
        </w:rPr>
        <w:t xml:space="preserve">[Facilities manager]</w:t>
      </w:r>
      <w:r>
        <w:t xml:space="preserve"> </w:t>
      </w:r>
      <w:r>
        <w:t xml:space="preserve">shall keep fuel or supply contracts sufficient to sustain it for the outage duration the plan assumes. (PE-11(1))</w:t>
      </w:r>
    </w:p>
    <w:bookmarkEnd w:id="39"/>
    <w:bookmarkStart w:id="40" w:name="emergency-lighting-pe-12"/>
    <w:p>
      <w:pPr>
        <w:pStyle w:val="Heading3"/>
      </w:pPr>
      <w:r>
        <w:t xml:space="preserve">Emergency lighting (PE-12)</w:t>
      </w:r>
    </w:p>
    <w:p>
      <w:pPr>
        <w:pStyle w:val="Compact"/>
        <w:numPr>
          <w:ilvl w:val="0"/>
          <w:numId w:val="1021"/>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21"/>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21"/>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40"/>
    <w:bookmarkStart w:id="41" w:name="fire-protection-pe-13"/>
    <w:p>
      <w:pPr>
        <w:pStyle w:val="Heading3"/>
      </w:pPr>
      <w:r>
        <w:t xml:space="preserve">Fire protection (PE-13)</w:t>
      </w:r>
    </w:p>
    <w:p>
      <w:pPr>
        <w:pStyle w:val="Compact"/>
        <w:numPr>
          <w:ilvl w:val="0"/>
          <w:numId w:val="1022"/>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22"/>
        </w:numPr>
      </w:pPr>
      <w:r>
        <w:t xml:space="preserve">Fire detection and suppression systems shall be inspected, tested and maintained as the applicable fire code and the manufacturer require, and the records kept. (PE-13)</w:t>
      </w:r>
    </w:p>
    <w:p>
      <w:pPr>
        <w:pStyle w:val="Compact"/>
        <w:numPr>
          <w:ilvl w:val="0"/>
          <w:numId w:val="1022"/>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41"/>
    <w:bookmarkStart w:id="42" w:name="X8509ce78cf9e0b77ab35880d1fd09a289d534af"/>
    <w:p>
      <w:pPr>
        <w:pStyle w:val="Heading3"/>
      </w:pPr>
      <w:r>
        <w:t xml:space="preserve">Detection systems — automatic activation and notification (PE-13(1))</w:t>
      </w:r>
    </w:p>
    <w:p>
      <w:pPr>
        <w:pStyle w:val="Compact"/>
        <w:numPr>
          <w:ilvl w:val="0"/>
          <w:numId w:val="1023"/>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023"/>
        </w:numPr>
      </w:pPr>
      <w:r>
        <w:t xml:space="preserve">The notification path shall have power independent of the facility’s main supply, and shall be tested with the fire detection system. (PE-13(1))</w:t>
      </w:r>
    </w:p>
    <w:bookmarkEnd w:id="42"/>
    <w:bookmarkStart w:id="43" w:name="Xad479a28145ad1385031011c83471e6fca97c69"/>
    <w:p>
      <w:pPr>
        <w:pStyle w:val="Heading3"/>
      </w:pPr>
      <w:r>
        <w:t xml:space="preserve">Suppression systems — automatic activation and notification (PE-13(2))</w:t>
      </w:r>
    </w:p>
    <w:p>
      <w:pPr>
        <w:pStyle w:val="Compact"/>
        <w:numPr>
          <w:ilvl w:val="0"/>
          <w:numId w:val="1024"/>
        </w:numPr>
      </w:pPr>
      <w:r>
        <w:t xml:space="preserve">The</w:t>
      </w:r>
      <w:r>
        <w:t xml:space="preserve"> </w:t>
      </w:r>
      <w:r>
        <w:rPr>
          <w:rStyle w:val="Fill-in"/>
        </w:rPr>
        <w:t xml:space="preserve">[Facilities manager]</w:t>
      </w:r>
      <w:r>
        <w:t xml:space="preserve"> </w:t>
      </w:r>
      <w:r>
        <w:t xml:space="preserve">shall employ fire suppression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(PE-13(2)(a))</w:t>
      </w:r>
    </w:p>
    <w:p>
      <w:pPr>
        <w:pStyle w:val="Compact"/>
        <w:numPr>
          <w:ilvl w:val="0"/>
          <w:numId w:val="1024"/>
        </w:numPr>
      </w:pPr>
      <w:r>
        <w:t xml:space="preserve">The</w:t>
      </w:r>
      <w:r>
        <w:t xml:space="preserve"> </w:t>
      </w:r>
      <w:r>
        <w:rPr>
          <w:rStyle w:val="Fill-in"/>
        </w:rPr>
        <w:t xml:space="preserve">[Facilities manager]</w:t>
      </w:r>
      <w:r>
        <w:t xml:space="preserve"> </w:t>
      </w:r>
      <w:r>
        <w:t xml:space="preserve">shall employ an automatic fire suppression capability when the facility is not staffed on a continuous basis. (PE-13(2)(b))</w:t>
      </w:r>
    </w:p>
    <w:bookmarkEnd w:id="43"/>
    <w:bookmarkStart w:id="44" w:name="environmental-controls-pe-14"/>
    <w:p>
      <w:pPr>
        <w:pStyle w:val="Heading3"/>
      </w:pPr>
      <w:r>
        <w:t xml:space="preserve">Environmental controls (PE-14)</w:t>
      </w:r>
    </w:p>
    <w:p>
      <w:pPr>
        <w:pStyle w:val="Compact"/>
        <w:numPr>
          <w:ilvl w:val="0"/>
          <w:numId w:val="1025"/>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25"/>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25"/>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25"/>
        </w:numPr>
      </w:pPr>
      <w:r>
        <w:t xml:space="preserve">Cooling for areas that contain system components shall run independently of the building’s office schedule, with enough capacity or redundancy that the loss of one unit does not take the room out of range. (PE-14a)</w:t>
      </w:r>
    </w:p>
    <w:bookmarkEnd w:id="44"/>
    <w:bookmarkStart w:id="45" w:name="water-damage-protection-pe-15"/>
    <w:p>
      <w:pPr>
        <w:pStyle w:val="Heading3"/>
      </w:pPr>
      <w:r>
        <w:t xml:space="preserve">Water damage protection (PE-15)</w:t>
      </w:r>
    </w:p>
    <w:p>
      <w:pPr>
        <w:pStyle w:val="Compact"/>
        <w:numPr>
          <w:ilvl w:val="0"/>
          <w:numId w:val="1026"/>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26"/>
        </w:numPr>
      </w:pPr>
      <w:r>
        <w:t xml:space="preserve">The valves shall be labeled, shown on a facility plan kept with the contingency plan, kept clear of obstructions, and exercised at least annually. (PE-15)</w:t>
      </w:r>
    </w:p>
    <w:p>
      <w:pPr>
        <w:pStyle w:val="Compact"/>
        <w:numPr>
          <w:ilvl w:val="0"/>
          <w:numId w:val="1026"/>
        </w:numPr>
      </w:pPr>
      <w:r>
        <w:t xml:space="preserve">Key personnel, including the staff who work in areas that contain system components, shall be shown the valve locations and how to operate them. (PE-15)</w:t>
      </w:r>
    </w:p>
    <w:p>
      <w:pPr>
        <w:pStyle w:val="Compact"/>
        <w:numPr>
          <w:ilvl w:val="0"/>
          <w:numId w:val="1026"/>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45"/>
    <w:bookmarkStart w:id="46" w:name="automation-support-pe-151"/>
    <w:p>
      <w:pPr>
        <w:pStyle w:val="Heading3"/>
      </w:pPr>
      <w:r>
        <w:t xml:space="preserve">Automation support (PE-15(1))</w:t>
      </w:r>
    </w:p>
    <w:p>
      <w:pPr>
        <w:pStyle w:val="Compact"/>
        <w:numPr>
          <w:ilvl w:val="0"/>
          <w:numId w:val="1027"/>
        </w:numPr>
      </w:pPr>
      <w:r>
        <w:t xml:space="preserve">The</w:t>
      </w:r>
      <w:r>
        <w:t xml:space="preserve"> </w:t>
      </w:r>
      <w:r>
        <w:rPr>
          <w:rStyle w:val="Fill-in"/>
        </w:rPr>
        <w:t xml:space="preserve">[Facilities manager]</w:t>
      </w:r>
      <w:r>
        <w:t xml:space="preserve"> </w:t>
      </w:r>
      <w:r>
        <w:t xml:space="preserve">shall detect the presence of water near the system and alert</w:t>
      </w:r>
      <w:r>
        <w:t xml:space="preserve"> </w:t>
      </w:r>
      <w:r>
        <w:rPr>
          <w:rStyle w:val="Fill-in"/>
        </w:rPr>
        <w:t xml:space="preserve">[Fill in: personnel or roles to be alerted when the presence of water is detected near the system. Typical: the facilities manager and the operations staff on duty for the facility]</w:t>
      </w:r>
      <w:r>
        <w:t xml:space="preserve"> </w:t>
      </w:r>
      <w:r>
        <w:t xml:space="preserve">using</w:t>
      </w:r>
      <w:r>
        <w:t xml:space="preserve"> </w:t>
      </w:r>
      <w:r>
        <w:rPr>
          <w:rStyle w:val="Fill-in"/>
        </w:rPr>
        <w:t xml:space="preserve">[Fill in: automated mechanisms used to detect the presence of water near the system. Typical: water detection sensors under raised floors, near cooling units and below any pipes in areas that contain system components, connected to the building management or environmental monitoring system]</w:t>
      </w:r>
      <w:r>
        <w:t xml:space="preserve">. (PE-15(1))</w:t>
      </w:r>
    </w:p>
    <w:p>
      <w:pPr>
        <w:pStyle w:val="Compact"/>
        <w:numPr>
          <w:ilvl w:val="0"/>
          <w:numId w:val="1027"/>
        </w:numPr>
      </w:pPr>
      <w:r>
        <w:t xml:space="preserve">The water detection sensors and their alerts shall be tested at least annually. (PE-15(1))</w:t>
      </w:r>
    </w:p>
    <w:bookmarkEnd w:id="46"/>
    <w:bookmarkStart w:id="47" w:name="delivery-and-removal-pe-16"/>
    <w:p>
      <w:pPr>
        <w:pStyle w:val="Heading3"/>
      </w:pPr>
      <w:r>
        <w:t xml:space="preserve">Delivery and removal (PE-16)</w:t>
      </w:r>
    </w:p>
    <w:p>
      <w:pPr>
        <w:pStyle w:val="Compact"/>
        <w:numPr>
          <w:ilvl w:val="0"/>
          <w:numId w:val="1028"/>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028"/>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028"/>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028"/>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028"/>
        </w:numPr>
      </w:pPr>
      <w:r>
        <w:t xml:space="preserve">Laptops and other devices issued to individuals may leave and return with their assigned user without a record of each trip, as long as they are recorded in the component inventory against that user. (PE-16a)</w:t>
      </w:r>
    </w:p>
    <w:bookmarkEnd w:id="47"/>
    <w:bookmarkStart w:id="50" w:name="alternate-work-site-pe-17"/>
    <w:p>
      <w:pPr>
        <w:pStyle w:val="Heading3"/>
      </w:pPr>
      <w:r>
        <w:t xml:space="preserve">Alternate work site (PE-17)</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029"/>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49" w:name="federal-systems-3"/>
    <w:p>
      <w:pPr>
        <w:pStyle w:val="Heading4"/>
      </w:pPr>
      <w:r>
        <w:t xml:space="preserve">Federal systems</w:t>
      </w:r>
    </w:p>
    <w:p>
      <w:pPr>
        <w:pStyle w:val="FirstParagraph"/>
      </w:pPr>
      <w:r>
        <w:t xml:space="preserve">Under</w:t>
      </w:r>
      <w:r>
        <w:t xml:space="preserve"> </w:t>
      </w:r>
      <w:hyperlink r:id="rId48">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030"/>
        </w:numPr>
      </w:pPr>
      <w:r>
        <w:t xml:space="preserve">No employee shall telework without the written telework agreement 5 U.S.C. § 6502(b)(2) requires, and the agreement shall reference the alternate work site controls in this policy. (PE-17a)</w:t>
      </w:r>
    </w:p>
    <w:p>
      <w:pPr>
        <w:pStyle w:val="Compact"/>
        <w:numPr>
          <w:ilvl w:val="0"/>
          <w:numId w:val="1030"/>
        </w:numPr>
      </w:pPr>
      <w:r>
        <w:t xml:space="preserve">Work from an overseas location shall be allowed only in the circumstances the agency’s telework policy enumerates under 5 U.S.C. § 6502(b)(6). (PE-17a)</w:t>
      </w:r>
    </w:p>
    <w:bookmarkEnd w:id="49"/>
    <w:bookmarkEnd w:id="50"/>
    <w:bookmarkStart w:id="51" w:name="location-of-system-components-pe-18"/>
    <w:p>
      <w:pPr>
        <w:pStyle w:val="Heading3"/>
      </w:pPr>
      <w:r>
        <w:t xml:space="preserve">Location of system components (PE-18)</w:t>
      </w:r>
    </w:p>
    <w:p>
      <w:pPr>
        <w:pStyle w:val="Compact"/>
        <w:numPr>
          <w:ilvl w:val="0"/>
          <w:numId w:val="1031"/>
        </w:numPr>
      </w:pPr>
      <w:r>
        <w:t xml:space="preserve">The</w:t>
      </w:r>
      <w:r>
        <w:t xml:space="preserve"> </w:t>
      </w:r>
      <w:r>
        <w:rPr>
          <w:rStyle w:val="Fill-in"/>
        </w:rPr>
        <w:t xml:space="preserve">[Facilities manager]</w:t>
      </w:r>
      <w:r>
        <w:t xml:space="preserve"> </w:t>
      </w:r>
      <w:r>
        <w:t xml:space="preserve">and the</w:t>
      </w:r>
      <w:r>
        <w:t xml:space="preserve"> </w:t>
      </w:r>
      <w:r>
        <w:rPr>
          <w:rStyle w:val="Fill-in"/>
        </w:rPr>
        <w:t xml:space="preserve">[System owner]</w:t>
      </w:r>
      <w:r>
        <w:t xml:space="preserve"> </w:t>
      </w:r>
      <w:r>
        <w:t xml:space="preserve">shall position system components within the facility to minimize potential damage from</w:t>
      </w:r>
      <w:r>
        <w:t xml:space="preserve"> </w:t>
      </w:r>
      <w:r>
        <w:rPr>
          <w:rStyle w:val="Fill-in"/>
        </w:rPr>
        <w:t xml:space="preserve">[Fill in: physical and environmental hazards that could result in potential damage to system components within the facility. Typical: flooding, fire, water leaks from pipes and cooling, power disturbances and electrical interference, and the other hazards the risk assessment identifies for the site]</w:t>
      </w:r>
      <w:r>
        <w:t xml:space="preserve"> </w:t>
      </w:r>
      <w:r>
        <w:t xml:space="preserve">and to minimize the opportunity for unauthorized access. (PE-18)</w:t>
      </w:r>
    </w:p>
    <w:p>
      <w:pPr>
        <w:pStyle w:val="Compact"/>
        <w:numPr>
          <w:ilvl w:val="0"/>
          <w:numId w:val="1031"/>
        </w:numPr>
      </w:pPr>
      <w:r>
        <w:t xml:space="preserve">Areas that contain system components shall not adjoin public areas, delivery areas or exterior walls at ground level where an alternative exists, and the reasons for any exception shall be recorded with the risk assessment (RA-3). (PE-18)</w:t>
      </w:r>
    </w:p>
    <w:bookmarkEnd w:id="51"/>
    <w:bookmarkEnd w:id="52"/>
    <w:bookmarkStart w:id="56" w:name="review-and-update"/>
    <w:p>
      <w:pPr>
        <w:pStyle w:val="Heading2"/>
      </w:pPr>
      <w:r>
        <w:t xml:space="preserve">Review and update</w:t>
      </w:r>
    </w:p>
    <w:p>
      <w:pPr>
        <w:pStyle w:val="Compact"/>
        <w:numPr>
          <w:ilvl w:val="0"/>
          <w:numId w:val="1032"/>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32"/>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55"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3">
        <w:r>
          <w:rPr>
            <w:rStyle w:val="Hyperlink"/>
          </w:rPr>
          <w:t xml:space="preserve">44 U.S.C. § 3554</w:t>
        </w:r>
      </w:hyperlink>
      <w:r>
        <w:t xml:space="preserve">, Federal agency responsibilities) and</w:t>
      </w:r>
      <w:r>
        <w:t xml:space="preserve"> </w:t>
      </w:r>
      <w:hyperlink r:id="rId54">
        <w:r>
          <w:rPr>
            <w:rStyle w:val="Hyperlink"/>
          </w:rPr>
          <w:t xml:space="preserve">OMB Circular A-130</w:t>
        </w:r>
      </w:hyperlink>
      <w:r>
        <w:t xml:space="preserve">, Appendix I, Responsibilities for Protecting and Managing Federal Information Resources.</w:t>
      </w:r>
    </w:p>
    <w:p>
      <w:pPr>
        <w:pStyle w:val="Compact"/>
        <w:numPr>
          <w:ilvl w:val="0"/>
          <w:numId w:val="1033"/>
        </w:numPr>
      </w:pPr>
      <w:r>
        <w:t xml:space="preserve">Where the agency’s organization-wide policy sets a value for a parameter in this policy, each system shall use that value or a stricter one. (PE-1a.1(b))</w:t>
      </w:r>
    </w:p>
    <w:bookmarkEnd w:id="55"/>
    <w:bookmarkEnd w:id="56"/>
    <w:bookmarkEnd w:id="5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201-3/final" TargetMode="External" /><Relationship Type="http://schemas.openxmlformats.org/officeDocument/2006/relationships/hyperlink" Id="rId22" Target="https://csrc.nist.gov/pubs/sp/800/116/r1/final" TargetMode="External" /><Relationship Type="http://schemas.openxmlformats.org/officeDocument/2006/relationships/hyperlink" Id="rId9" Target="https://kston83.github.io/nist-guide/templates/policies/pe/" TargetMode="External" /><Relationship Type="http://schemas.openxmlformats.org/officeDocument/2006/relationships/hyperlink" Id="rId53" Target="https://uscode.house.gov/view.xhtml?req=granuleid:USC-prelim-title44-section3554&amp;num=0&amp;edition=prelim" TargetMode="External" /><Relationship Type="http://schemas.openxmlformats.org/officeDocument/2006/relationships/hyperlink" Id="rId32" Target="https://www.archives.gov/files/records-mgmt/grs/grs05-6.pdf" TargetMode="External" /><Relationship Type="http://schemas.openxmlformats.org/officeDocument/2006/relationships/hyperlink" Id="rId23" Target="https://www.cisa.gov/publication/risk-management-process" TargetMode="External" /><Relationship Type="http://schemas.openxmlformats.org/officeDocument/2006/relationships/hyperlink" Id="rId48" Target="https://www.govinfo.gov/link/uscode/5/6502?link-type=html" TargetMode="External" /><Relationship Type="http://schemas.openxmlformats.org/officeDocument/2006/relationships/hyperlink" Id="rId5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201-3/final" TargetMode="External" /><Relationship Type="http://schemas.openxmlformats.org/officeDocument/2006/relationships/hyperlink" Id="rId22" Target="https://csrc.nist.gov/pubs/sp/800/116/r1/final" TargetMode="External" /><Relationship Type="http://schemas.openxmlformats.org/officeDocument/2006/relationships/hyperlink" Id="rId9" Target="https://kston83.github.io/nist-guide/templates/policies/pe/" TargetMode="External" /><Relationship Type="http://schemas.openxmlformats.org/officeDocument/2006/relationships/hyperlink" Id="rId53" Target="https://uscode.house.gov/view.xhtml?req=granuleid:USC-prelim-title44-section3554&amp;num=0&amp;edition=prelim" TargetMode="External" /><Relationship Type="http://schemas.openxmlformats.org/officeDocument/2006/relationships/hyperlink" Id="rId32" Target="https://www.archives.gov/files/records-mgmt/grs/grs05-6.pdf" TargetMode="External" /><Relationship Type="http://schemas.openxmlformats.org/officeDocument/2006/relationships/hyperlink" Id="rId23" Target="https://www.cisa.gov/publication/risk-management-process" TargetMode="External" /><Relationship Type="http://schemas.openxmlformats.org/officeDocument/2006/relationships/hyperlink" Id="rId48" Target="https://www.govinfo.gov/link/uscode/5/6502?link-type=html" TargetMode="External" /><Relationship Type="http://schemas.openxmlformats.org/officeDocument/2006/relationships/hyperlink" Id="rId5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