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45" w:name="policy-statements"/>
    <w:p>
      <w:pPr>
        <w:pStyle w:val="Heading2"/>
      </w:pPr>
      <w:r>
        <w:t xml:space="preserve">Policy statements</w:t>
      </w:r>
    </w:p>
    <w:bookmarkStart w:id="21" w:name="physical-access-authorizations-pe-2"/>
    <w:p>
      <w:pPr>
        <w:pStyle w:val="Heading3"/>
      </w:pPr>
      <w:r>
        <w:t xml:space="preserve">Physical access authorizations (PE-2)</w:t>
      </w:r>
    </w:p>
    <w:p>
      <w:pPr>
        <w:pStyle w:val="Compact"/>
        <w:numPr>
          <w:ilvl w:val="0"/>
          <w:numId w:val="1004"/>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04"/>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04"/>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04"/>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04"/>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04"/>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0" w:name="federal-systems"/>
    <w:p>
      <w:pPr>
        <w:pStyle w:val="Heading4"/>
      </w:pPr>
      <w:r>
        <w:t xml:space="preserve">Federal systems</w:t>
      </w:r>
    </w:p>
    <w:p>
      <w:pPr>
        <w:pStyle w:val="FirstParagraph"/>
      </w:pPr>
      <w:hyperlink r:id="rId19">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05"/>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05"/>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0"/>
    <w:bookmarkEnd w:id="21"/>
    <w:bookmarkStart w:id="25" w:name="physical-access-control-pe-3"/>
    <w:p>
      <w:pPr>
        <w:pStyle w:val="Heading3"/>
      </w:pPr>
      <w:r>
        <w:t xml:space="preserve">Physical access control (PE-3)</w:t>
      </w:r>
    </w:p>
    <w:p>
      <w:pPr>
        <w:pStyle w:val="Compact"/>
        <w:numPr>
          <w:ilvl w:val="0"/>
          <w:numId w:val="1006"/>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06"/>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06"/>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06"/>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06"/>
        </w:numPr>
      </w:pPr>
      <w:r>
        <w:t xml:space="preserve">Visitor and temporary badges shall look different from permanent badges, shall be valid only for the day or the approved period, and shall be returned on departure. (PE-3d)</w:t>
      </w:r>
    </w:p>
    <w:p>
      <w:pPr>
        <w:pStyle w:val="Compact"/>
        <w:numPr>
          <w:ilvl w:val="0"/>
          <w:numId w:val="1006"/>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06"/>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06"/>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06"/>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4" w:name="federal-systems-1"/>
    <w:p>
      <w:pPr>
        <w:pStyle w:val="Heading4"/>
      </w:pPr>
      <w:r>
        <w:t xml:space="preserve">Federal systems</w:t>
      </w:r>
    </w:p>
    <w:p>
      <w:pPr>
        <w:pStyle w:val="FirstParagraph"/>
      </w:pPr>
      <w:hyperlink r:id="rId19">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2">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3">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07"/>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07"/>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4"/>
    <w:bookmarkEnd w:id="25"/>
    <w:bookmarkStart w:id="26" w:name="access-control-for-transmission-pe-4"/>
    <w:p>
      <w:pPr>
        <w:pStyle w:val="Heading3"/>
      </w:pPr>
      <w:r>
        <w:t xml:space="preserve">Access control for transmission (PE-4)</w:t>
      </w:r>
    </w:p>
    <w:p>
      <w:pPr>
        <w:pStyle w:val="Compact"/>
        <w:numPr>
          <w:ilvl w:val="0"/>
          <w:numId w:val="1008"/>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008"/>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008"/>
        </w:numPr>
      </w:pPr>
      <w:r>
        <w:t xml:space="preserve">Wiring closets and telecommunications rooms shall be included in the physical access list, and entry to them recorded in the physical access logs. (PE-4)</w:t>
      </w:r>
    </w:p>
    <w:bookmarkEnd w:id="26"/>
    <w:bookmarkStart w:id="27" w:name="access-control-for-output-devices-pe-5"/>
    <w:p>
      <w:pPr>
        <w:pStyle w:val="Heading3"/>
      </w:pPr>
      <w:r>
        <w:t xml:space="preserve">Access control for output devices (PE-5)</w:t>
      </w:r>
    </w:p>
    <w:p>
      <w:pPr>
        <w:pStyle w:val="Compact"/>
        <w:numPr>
          <w:ilvl w:val="0"/>
          <w:numId w:val="1009"/>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009"/>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009"/>
        </w:numPr>
      </w:pPr>
      <w:r>
        <w:t xml:space="preserve">Monitors in reception and other areas visitors can see shall be positioned away from them or fitted with privacy filters. (PE-5)</w:t>
      </w:r>
    </w:p>
    <w:p>
      <w:pPr>
        <w:pStyle w:val="Compact"/>
        <w:numPr>
          <w:ilvl w:val="0"/>
          <w:numId w:val="1009"/>
        </w:numPr>
      </w:pPr>
      <w:r>
        <w:t xml:space="preserve">Users shall collect output promptly; uncollected output shall be removed and destroyed at least daily. (PE-5)</w:t>
      </w:r>
    </w:p>
    <w:bookmarkEnd w:id="27"/>
    <w:bookmarkStart w:id="28" w:name="monitoring-physical-access-pe-6"/>
    <w:p>
      <w:pPr>
        <w:pStyle w:val="Heading3"/>
      </w:pPr>
      <w:r>
        <w:t xml:space="preserve">Monitoring physical access (PE-6)</w:t>
      </w:r>
    </w:p>
    <w:p>
      <w:pPr>
        <w:pStyle w:val="Compact"/>
        <w:numPr>
          <w:ilvl w:val="0"/>
          <w:numId w:val="1010"/>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10"/>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10"/>
        </w:numPr>
      </w:pPr>
      <w:r>
        <w:t xml:space="preserve">Each review shall be recorded with its date, the reviewer, the period covered and the anomalies found. (PE-6b)</w:t>
      </w:r>
    </w:p>
    <w:p>
      <w:pPr>
        <w:pStyle w:val="Compact"/>
        <w:numPr>
          <w:ilvl w:val="0"/>
          <w:numId w:val="1010"/>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28"/>
    <w:bookmarkStart w:id="29" w:name="X7bccf12b67d401329fb67228cb284c3049dfa82"/>
    <w:p>
      <w:pPr>
        <w:pStyle w:val="Heading3"/>
      </w:pPr>
      <w:r>
        <w:t xml:space="preserve">Intrusion alarms and surveillance equipment (PE-6(1))</w:t>
      </w:r>
    </w:p>
    <w:p>
      <w:pPr>
        <w:pStyle w:val="Compact"/>
        <w:numPr>
          <w:ilvl w:val="0"/>
          <w:numId w:val="1011"/>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011"/>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011"/>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011"/>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29"/>
    <w:bookmarkStart w:id="32" w:name="visitor-access-records-pe-8"/>
    <w:p>
      <w:pPr>
        <w:pStyle w:val="Heading3"/>
      </w:pPr>
      <w:r>
        <w:t xml:space="preserve">Visitor access records (PE-8)</w:t>
      </w:r>
    </w:p>
    <w:p>
      <w:pPr>
        <w:pStyle w:val="Compact"/>
        <w:numPr>
          <w:ilvl w:val="0"/>
          <w:numId w:val="1012"/>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12"/>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12"/>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12"/>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31" w:name="federal-systems-2"/>
    <w:p>
      <w:pPr>
        <w:pStyle w:val="Heading4"/>
      </w:pPr>
      <w:r>
        <w:t xml:space="preserve">Federal systems</w:t>
      </w:r>
    </w:p>
    <w:p>
      <w:pPr>
        <w:pStyle w:val="FirstParagraph"/>
      </w:pPr>
      <w:r>
        <w:t xml:space="preserve">The National Archives and Records Administration’s</w:t>
      </w:r>
      <w:r>
        <w:t xml:space="preserve"> </w:t>
      </w:r>
      <w:hyperlink r:id="rId30">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13"/>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31"/>
    <w:bookmarkEnd w:id="32"/>
    <w:bookmarkStart w:id="33" w:name="power-equipment-and-cabling-pe-9"/>
    <w:p>
      <w:pPr>
        <w:pStyle w:val="Heading3"/>
      </w:pPr>
      <w:r>
        <w:t xml:space="preserve">Power equipment and cabling (PE-9)</w:t>
      </w:r>
    </w:p>
    <w:p>
      <w:pPr>
        <w:pStyle w:val="Compact"/>
        <w:numPr>
          <w:ilvl w:val="0"/>
          <w:numId w:val="1014"/>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014"/>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014"/>
        </w:numPr>
      </w:pPr>
      <w:r>
        <w:t xml:space="preserve">Power cabling shall be routed and labeled so that it is protected from accidental damage, kept separate from data cabling where practical, and not run across walkways. (PE-9)</w:t>
      </w:r>
    </w:p>
    <w:p>
      <w:pPr>
        <w:pStyle w:val="Compact"/>
        <w:numPr>
          <w:ilvl w:val="0"/>
          <w:numId w:val="1014"/>
        </w:numPr>
      </w:pPr>
      <w:r>
        <w:t xml:space="preserve">Power equipment shall be maintained as the manufacturer specifies, and the maintenance recorded. (PE-9)</w:t>
      </w:r>
    </w:p>
    <w:bookmarkEnd w:id="33"/>
    <w:bookmarkStart w:id="34" w:name="emergency-shutoff-pe-10"/>
    <w:p>
      <w:pPr>
        <w:pStyle w:val="Heading3"/>
      </w:pPr>
      <w:r>
        <w:t xml:space="preserve">Emergency shutoff (PE-10)</w:t>
      </w:r>
    </w:p>
    <w:p>
      <w:pPr>
        <w:pStyle w:val="Compact"/>
        <w:numPr>
          <w:ilvl w:val="0"/>
          <w:numId w:val="1015"/>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015"/>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015"/>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015"/>
        </w:numPr>
      </w:pPr>
      <w:r>
        <w:t xml:space="preserve">Staff who work in those areas shall be shown the shutoff locations and told when to use them. (PE-10b)</w:t>
      </w:r>
    </w:p>
    <w:bookmarkEnd w:id="34"/>
    <w:bookmarkStart w:id="35" w:name="emergency-power-pe-11"/>
    <w:p>
      <w:pPr>
        <w:pStyle w:val="Heading3"/>
      </w:pPr>
      <w:r>
        <w:t xml:space="preserve">Emergency power (PE-11)</w:t>
      </w:r>
    </w:p>
    <w:p>
      <w:pPr>
        <w:pStyle w:val="Compact"/>
        <w:numPr>
          <w:ilvl w:val="0"/>
          <w:numId w:val="1016"/>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016"/>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016"/>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016"/>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35"/>
    <w:bookmarkStart w:id="36" w:name="emergency-lighting-pe-12"/>
    <w:p>
      <w:pPr>
        <w:pStyle w:val="Heading3"/>
      </w:pPr>
      <w:r>
        <w:t xml:space="preserve">Emergency lighting (PE-12)</w:t>
      </w:r>
    </w:p>
    <w:p>
      <w:pPr>
        <w:pStyle w:val="Compact"/>
        <w:numPr>
          <w:ilvl w:val="0"/>
          <w:numId w:val="1017"/>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17"/>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17"/>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36"/>
    <w:bookmarkStart w:id="37" w:name="fire-protection-pe-13"/>
    <w:p>
      <w:pPr>
        <w:pStyle w:val="Heading3"/>
      </w:pPr>
      <w:r>
        <w:t xml:space="preserve">Fire protection (PE-13)</w:t>
      </w:r>
    </w:p>
    <w:p>
      <w:pPr>
        <w:pStyle w:val="Compact"/>
        <w:numPr>
          <w:ilvl w:val="0"/>
          <w:numId w:val="1018"/>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18"/>
        </w:numPr>
      </w:pPr>
      <w:r>
        <w:t xml:space="preserve">Fire detection and suppression systems shall be inspected, tested and maintained as the applicable fire code and the manufacturer require, and the records kept. (PE-13)</w:t>
      </w:r>
    </w:p>
    <w:p>
      <w:pPr>
        <w:pStyle w:val="Compact"/>
        <w:numPr>
          <w:ilvl w:val="0"/>
          <w:numId w:val="1018"/>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37"/>
    <w:bookmarkStart w:id="38" w:name="X8509ce78cf9e0b77ab35880d1fd09a289d534af"/>
    <w:p>
      <w:pPr>
        <w:pStyle w:val="Heading3"/>
      </w:pPr>
      <w:r>
        <w:t xml:space="preserve">Detection systems — automatic activation and notification (PE-13(1))</w:t>
      </w:r>
    </w:p>
    <w:p>
      <w:pPr>
        <w:pStyle w:val="Compact"/>
        <w:numPr>
          <w:ilvl w:val="0"/>
          <w:numId w:val="1019"/>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019"/>
        </w:numPr>
      </w:pPr>
      <w:r>
        <w:t xml:space="preserve">The notification path shall have power independent of the facility’s main supply, and shall be tested with the fire detection system. (PE-13(1))</w:t>
      </w:r>
    </w:p>
    <w:bookmarkEnd w:id="38"/>
    <w:bookmarkStart w:id="39" w:name="environmental-controls-pe-14"/>
    <w:p>
      <w:pPr>
        <w:pStyle w:val="Heading3"/>
      </w:pPr>
      <w:r>
        <w:t xml:space="preserve">Environmental controls (PE-14)</w:t>
      </w:r>
    </w:p>
    <w:p>
      <w:pPr>
        <w:pStyle w:val="Compact"/>
        <w:numPr>
          <w:ilvl w:val="0"/>
          <w:numId w:val="1020"/>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20"/>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20"/>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20"/>
        </w:numPr>
      </w:pPr>
      <w:r>
        <w:t xml:space="preserve">Cooling for areas that contain system components shall run independently of the building’s office schedule, with enough capacity or redundancy that the loss of one unit does not take the room out of range. (PE-14a)</w:t>
      </w:r>
    </w:p>
    <w:bookmarkEnd w:id="39"/>
    <w:bookmarkStart w:id="40" w:name="water-damage-protection-pe-15"/>
    <w:p>
      <w:pPr>
        <w:pStyle w:val="Heading3"/>
      </w:pPr>
      <w:r>
        <w:t xml:space="preserve">Water damage protection (PE-15)</w:t>
      </w:r>
    </w:p>
    <w:p>
      <w:pPr>
        <w:pStyle w:val="Compact"/>
        <w:numPr>
          <w:ilvl w:val="0"/>
          <w:numId w:val="1021"/>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21"/>
        </w:numPr>
      </w:pPr>
      <w:r>
        <w:t xml:space="preserve">The valves shall be labeled, shown on a facility plan kept with the contingency plan, kept clear of obstructions, and exercised at least annually. (PE-15)</w:t>
      </w:r>
    </w:p>
    <w:p>
      <w:pPr>
        <w:pStyle w:val="Compact"/>
        <w:numPr>
          <w:ilvl w:val="0"/>
          <w:numId w:val="1021"/>
        </w:numPr>
      </w:pPr>
      <w:r>
        <w:t xml:space="preserve">Key personnel, including the staff who work in areas that contain system components, shall be shown the valve locations and how to operate them. (PE-15)</w:t>
      </w:r>
    </w:p>
    <w:p>
      <w:pPr>
        <w:pStyle w:val="Compact"/>
        <w:numPr>
          <w:ilvl w:val="0"/>
          <w:numId w:val="1021"/>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40"/>
    <w:bookmarkStart w:id="41" w:name="delivery-and-removal-pe-16"/>
    <w:p>
      <w:pPr>
        <w:pStyle w:val="Heading3"/>
      </w:pPr>
      <w:r>
        <w:t xml:space="preserve">Delivery and removal (PE-16)</w:t>
      </w:r>
    </w:p>
    <w:p>
      <w:pPr>
        <w:pStyle w:val="Compact"/>
        <w:numPr>
          <w:ilvl w:val="0"/>
          <w:numId w:val="1022"/>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022"/>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022"/>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022"/>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022"/>
        </w:numPr>
      </w:pPr>
      <w:r>
        <w:t xml:space="preserve">Laptops and other devices issued to individuals may leave and return with their assigned user without a record of each trip, as long as they are recorded in the component inventory against that user. (PE-16a)</w:t>
      </w:r>
    </w:p>
    <w:bookmarkEnd w:id="41"/>
    <w:bookmarkStart w:id="44" w:name="alternate-work-site-pe-17"/>
    <w:p>
      <w:pPr>
        <w:pStyle w:val="Heading3"/>
      </w:pPr>
      <w:r>
        <w:t xml:space="preserve">Alternate work site (PE-17)</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023"/>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43" w:name="federal-systems-3"/>
    <w:p>
      <w:pPr>
        <w:pStyle w:val="Heading4"/>
      </w:pPr>
      <w:r>
        <w:t xml:space="preserve">Federal systems</w:t>
      </w:r>
    </w:p>
    <w:p>
      <w:pPr>
        <w:pStyle w:val="FirstParagraph"/>
      </w:pPr>
      <w:r>
        <w:t xml:space="preserve">Under</w:t>
      </w:r>
      <w:r>
        <w:t xml:space="preserve"> </w:t>
      </w:r>
      <w:hyperlink r:id="rId42">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024"/>
        </w:numPr>
      </w:pPr>
      <w:r>
        <w:t xml:space="preserve">No employee shall telework without the written telework agreement 5 U.S.C. § 6502(b)(2) requires, and the agreement shall reference the alternate work site controls in this policy. (PE-17a)</w:t>
      </w:r>
    </w:p>
    <w:p>
      <w:pPr>
        <w:pStyle w:val="Compact"/>
        <w:numPr>
          <w:ilvl w:val="0"/>
          <w:numId w:val="1024"/>
        </w:numPr>
      </w:pPr>
      <w:r>
        <w:t xml:space="preserve">Work from an overseas location shall be allowed only in the circumstances the agency’s telework policy enumerates under 5 U.S.C. § 6502(b)(6). (PE-17a)</w:t>
      </w:r>
    </w:p>
    <w:bookmarkEnd w:id="43"/>
    <w:bookmarkEnd w:id="44"/>
    <w:bookmarkEnd w:id="45"/>
    <w:bookmarkStart w:id="49" w:name="review-and-update"/>
    <w:p>
      <w:pPr>
        <w:pStyle w:val="Heading2"/>
      </w:pPr>
      <w:r>
        <w:t xml:space="preserve">Review and update</w:t>
      </w:r>
    </w:p>
    <w:p>
      <w:pPr>
        <w:pStyle w:val="Compact"/>
        <w:numPr>
          <w:ilvl w:val="0"/>
          <w:numId w:val="1025"/>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25"/>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48"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6">
        <w:r>
          <w:rPr>
            <w:rStyle w:val="Hyperlink"/>
          </w:rPr>
          <w:t xml:space="preserve">44 U.S.C. § 3554</w:t>
        </w:r>
      </w:hyperlink>
      <w:r>
        <w:t xml:space="preserve">, Federal agency responsibilities) and</w:t>
      </w:r>
      <w:r>
        <w:t xml:space="preserve"> </w:t>
      </w:r>
      <w:hyperlink r:id="rId47">
        <w:r>
          <w:rPr>
            <w:rStyle w:val="Hyperlink"/>
          </w:rPr>
          <w:t xml:space="preserve">OMB Circular A-130</w:t>
        </w:r>
      </w:hyperlink>
      <w:r>
        <w:t xml:space="preserve">, Appendix I, Responsibilities for Protecting and Managing Federal Information Resources.</w:t>
      </w:r>
    </w:p>
    <w:p>
      <w:pPr>
        <w:pStyle w:val="Compact"/>
        <w:numPr>
          <w:ilvl w:val="0"/>
          <w:numId w:val="1026"/>
        </w:numPr>
      </w:pPr>
      <w:r>
        <w:t xml:space="preserve">Where the agency’s organization-wide policy sets a value for a parameter in this policy, each system shall use that value or a stricter one. (PE-1a.1(b))</w:t>
      </w:r>
    </w:p>
    <w:bookmarkEnd w:id="48"/>
    <w:bookmarkEnd w:id="49"/>
    <w:bookmarkEnd w:id="5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201-3/final" TargetMode="External" /><Relationship Type="http://schemas.openxmlformats.org/officeDocument/2006/relationships/hyperlink" Id="rId22" Target="https://csrc.nist.gov/pubs/sp/800/116/r1/final" TargetMode="External" /><Relationship Type="http://schemas.openxmlformats.org/officeDocument/2006/relationships/hyperlink" Id="rId9" Target="https://kston83.github.io/nist-guide/templates/policies/pe/"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0" Target="https://www.archives.gov/files/records-mgmt/grs/grs05-6.pdf" TargetMode="External" /><Relationship Type="http://schemas.openxmlformats.org/officeDocument/2006/relationships/hyperlink" Id="rId23" Target="https://www.cisa.gov/publication/risk-management-process" TargetMode="External" /><Relationship Type="http://schemas.openxmlformats.org/officeDocument/2006/relationships/hyperlink" Id="rId42" Target="https://www.govinfo.gov/link/uscode/5/6502?link-type=html" TargetMode="External" /><Relationship Type="http://schemas.openxmlformats.org/officeDocument/2006/relationships/hyperlink" Id="rId4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201-3/final" TargetMode="External" /><Relationship Type="http://schemas.openxmlformats.org/officeDocument/2006/relationships/hyperlink" Id="rId22" Target="https://csrc.nist.gov/pubs/sp/800/116/r1/final" TargetMode="External" /><Relationship Type="http://schemas.openxmlformats.org/officeDocument/2006/relationships/hyperlink" Id="rId9" Target="https://kston83.github.io/nist-guide/templates/policies/pe/"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0" Target="https://www.archives.gov/files/records-mgmt/grs/grs05-6.pdf" TargetMode="External" /><Relationship Type="http://schemas.openxmlformats.org/officeDocument/2006/relationships/hyperlink" Id="rId23" Target="https://www.cisa.gov/publication/risk-management-process" TargetMode="External" /><Relationship Type="http://schemas.openxmlformats.org/officeDocument/2006/relationships/hyperlink" Id="rId42" Target="https://www.govinfo.gov/link/uscode/5/6502?link-type=html" TargetMode="External" /><Relationship Type="http://schemas.openxmlformats.org/officeDocument/2006/relationships/hyperlink" Id="rId4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