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planning-policy"/>
    <w:p>
      <w:pPr>
        <w:pStyle w:val="Heading1"/>
      </w:pPr>
      <w:r>
        <w:t xml:space="preserve">Planning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Moderate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https://kston83.github.io/nist-guide/templates/policies/pl/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PL-1,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PL-1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Planning, and who is accountable for meeting those requirements. (PL-1a.1(a))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(PL-1a.1(a))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(PL-1a.1(a))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(PL-1b)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(PL-1a.1(a))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(PL-1a.1(a))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(PL-1a.1(a))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(PL-1a.1(a))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(PL-1a.1(b))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(PL-1a.1(a))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(PL-1a.1(a))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(PL-1a.1(a))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(PL-1a.2)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planning policy is to be disseminated. Typical: everyone within its scope, through the policy library]</w:t>
      </w:r>
      <w:r>
        <w:t xml:space="preserve">. (PL-1a)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planning procedures are to be disseminated. Typical: the people who carry them out, and the system owners]</w:t>
      </w:r>
      <w:r>
        <w:t xml:space="preserve">. (PL-1a)</w:t>
      </w:r>
    </w:p>
    <w:bookmarkEnd w:id="18"/>
    <w:bookmarkStart w:id="30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20" w:name="system-security-and-privacy-plans-pl-2"/>
    <w:p>
      <w:pPr>
        <w:pStyle w:val="Heading3"/>
      </w:pPr>
      <w:r>
        <w:t xml:space="preserve">System security and privacy plans (PL-2)</w:t>
      </w:r>
    </w:p>
    <w:p>
      <w:pPr>
        <w:pStyle w:val="Guidance"/>
      </w:pPr>
      <w:r>
        <w:t xml:space="preserve">PL-2 lists fifteen things a system’s security and privacy plans must contain. The</w:t>
      </w:r>
      <w:r>
        <w:t xml:space="preserve"> </w:t>
      </w:r>
      <w:hyperlink r:id="rId19">
        <w:r>
          <w:rPr>
            <w:rStyle w:val="Hyperlink"/>
          </w:rPr>
          <w:t xml:space="preserve">System Security Plan template</w:t>
        </w:r>
      </w:hyperlink>
      <w:r>
        <w:t xml:space="preserve"> </w:t>
      </w:r>
      <w:r>
        <w:t xml:space="preserve">has a section for each, so the statements below require the plan and point to its contents rather than repeating all fifteen. A system that processes personally identifiable information can keep its privacy plan as part of the security plan or as a separate document; either way, both must meet PL-2.</w:t>
      </w:r>
    </w:p>
    <w:p>
      <w:pPr>
        <w:pStyle w:val="Compact"/>
        <w:numPr>
          <w:ilvl w:val="0"/>
          <w:numId w:val="1004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plan and a privacy plan for the system, as one document or two, that contain every element PL-2a.1 to a.14 lists. (PL-2a)</w:t>
      </w:r>
    </w:p>
    <w:p>
      <w:pPr>
        <w:pStyle w:val="Compact"/>
        <w:numPr>
          <w:ilvl w:val="0"/>
          <w:numId w:val="1004"/>
        </w:numPr>
      </w:pPr>
      <w:r>
        <w:t xml:space="preserve">The plans shall identify the security- and privacy-related activities affecting the system that require planning and coordination with</w:t>
      </w:r>
      <w:r>
        <w:t xml:space="preserve"> </w:t>
      </w:r>
      <w:r>
        <w:rPr>
          <w:rStyle w:val="Fill-in"/>
        </w:rPr>
        <w:t xml:space="preserve">[Fill in: individuals or groups with whom security and privacy-related activities affecting the system that require planning and coordination. Typical: the system’s stakeholders, the common control providers, and the security and privacy teams]</w:t>
      </w:r>
      <w:r>
        <w:t xml:space="preserve">. (PL-2a.14)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have the plans reviewed and approved by the authorizing official, or a designated representative, before the plans are implemented. (PL-2a.15)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distribute copies of the plans, and communicate later changes to them, to</w:t>
      </w:r>
      <w:r>
        <w:t xml:space="preserve"> </w:t>
      </w:r>
      <w:r>
        <w:rPr>
          <w:rStyle w:val="Fill-in"/>
        </w:rPr>
        <w:t xml:space="preserve">[Fill in: personnel or roles to receive distributed copies of the system security and privacy plans. Typical: the authorizing official, the system owner, the system security officer and the assessor]</w:t>
      </w:r>
      <w:r>
        <w:t xml:space="preserve">. (PL-2b)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plans</w:t>
      </w:r>
      <w:r>
        <w:t xml:space="preserve"> </w:t>
      </w:r>
      <w:r>
        <w:rPr>
          <w:rStyle w:val="Fill-in"/>
        </w:rPr>
        <w:t xml:space="preserve">[Fill in: frequency to review system security and privacy plans. Typical: annually]</w:t>
      </w:r>
      <w:r>
        <w:t xml:space="preserve">. (PL-2c)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plans to address changes to the system and its environment of operation, and problems found during plan implementation or control assessments. (PL-2d)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plans from unauthorized disclosure and modification. (PL-2e)</w:t>
      </w:r>
    </w:p>
    <w:bookmarkEnd w:id="20"/>
    <w:bookmarkStart w:id="22" w:name="rules-of-behavior-pl-4"/>
    <w:p>
      <w:pPr>
        <w:pStyle w:val="Heading3"/>
      </w:pPr>
      <w:r>
        <w:t xml:space="preserve">Rules of behavior (PL-4)</w:t>
      </w:r>
    </w:p>
    <w:p>
      <w:pPr>
        <w:pStyle w:val="Guidance"/>
      </w:pPr>
      <w:r>
        <w:t xml:space="preserve">The</w:t>
      </w:r>
      <w:r>
        <w:t xml:space="preserve"> </w:t>
      </w:r>
      <w:hyperlink r:id="rId21">
        <w:r>
          <w:rPr>
            <w:rStyle w:val="Hyperlink"/>
          </w:rPr>
          <w:t xml:space="preserve">Rules of Behavior template</w:t>
        </w:r>
      </w:hyperlink>
      <w:r>
        <w:t xml:space="preserve"> </w:t>
      </w:r>
      <w:r>
        <w:t xml:space="preserve">gives the rules, a signature block and a register of acknowledgments. Assessors sample new accounts and check that each acknowledgment is dated before access was granted.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rules that describe the responsibilities and expected behavior of individuals for information and system usage, security and privacy.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the rules to each individual who requires access to the system.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receive a documented acknowledgment from each individual, stating that they have read, understand and agree to abide by the rules, before authorizing access to information and the system. (PL-4b)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the rules of behavior</w:t>
      </w:r>
      <w:r>
        <w:t xml:space="preserve"> </w:t>
      </w:r>
      <w:r>
        <w:rPr>
          <w:rStyle w:val="Fill-in"/>
        </w:rPr>
        <w:t xml:space="preserve">[Fill in: frequency for reviewing and updating the rules of behavior. Typical: annually]</w:t>
      </w:r>
      <w:r>
        <w:t xml:space="preserve">. (PL-4c)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require individuals who acknowledged a previous version of the rules to read and re-acknowledge them</w:t>
      </w:r>
      <w:r>
        <w:t xml:space="preserve"> </w:t>
      </w:r>
      <w:r>
        <w:rPr>
          <w:rStyle w:val="Fill-in"/>
        </w:rPr>
        <w:t xml:space="preserve">[Select one or more: [Assignment: organization-defined frequency]; when the rules are revised or updated. Typical: annually, and when the rules are revised or updated]</w:t>
      </w:r>
      <w:r>
        <w:t xml:space="preserve">. (PL-4d)</w:t>
      </w:r>
    </w:p>
    <w:bookmarkEnd w:id="22"/>
    <w:bookmarkStart w:id="23" w:name="X3f2661dbd3565abe5da19344e4a6a2347ebad27"/>
    <w:p>
      <w:pPr>
        <w:pStyle w:val="Heading3"/>
      </w:pPr>
      <w:r>
        <w:t xml:space="preserve">Social media and external site and application usage restrictions (PL-4(1))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social media, social networking sites, and external sites and applications. (PL-4(1)(a))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posting of organizational information on public websites. (PL-4(1)(b))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organization-provided identifiers, such as email addresses, and authentication secrets, such as passwords, to create accounts on external sites and applications. (PL-4(1)(c))</w:t>
      </w:r>
    </w:p>
    <w:bookmarkEnd w:id="23"/>
    <w:bookmarkStart w:id="24" w:name="security-and-privacy-architectures-pl-8"/>
    <w:p>
      <w:pPr>
        <w:pStyle w:val="Heading3"/>
      </w:pPr>
      <w:r>
        <w:t xml:space="preserve">Security and privacy architectures (PL-8)</w:t>
      </w:r>
    </w:p>
    <w:p>
      <w:pPr>
        <w:pStyle w:val="Guidance"/>
      </w:pPr>
      <w:r>
        <w:t xml:space="preserve">The architectures describe how the system is built to protect information and to limit privacy risk: the protection approach, the trust boundaries, and what the system assumes about the services it relies on. Most systems keep them as a section of the system security plan with a diagram, rather than as a separate document.</w:t>
      </w:r>
    </w:p>
    <w:p>
      <w:pPr>
        <w:pStyle w:val="Compact"/>
        <w:numPr>
          <w:ilvl w:val="0"/>
          <w:numId w:val="1007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architecture and a privacy architecture for the system. (PL-8a)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protecting the confidentiality, integrity and availability of organizational information. (PL-8a.1)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processing personally identifiable information so as to minimize privacy risk to individuals. (PL-8a.2)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how they are integrated into and support the enterprise architecture. (PL-8a.3)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any assumptions about, and dependencies on, external systems and services. (PL-8a.4)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architectures</w:t>
      </w:r>
      <w:r>
        <w:t xml:space="preserve"> </w:t>
      </w:r>
      <w:r>
        <w:rPr>
          <w:rStyle w:val="Fill-in"/>
        </w:rPr>
        <w:t xml:space="preserve">[Fill in: frequency for review and update to reflect changes in the enterprise architecture. Typical: annually, and whenever the enterprise architecture changes]</w:t>
      </w:r>
      <w:r>
        <w:t xml:space="preserve"> </w:t>
      </w:r>
      <w:r>
        <w:t xml:space="preserve">to reflect changes in the enterprise architecture. (PL-8b)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reflect planned architecture changes in the security and privacy plans, the concept of operations, the criticality analysis, organizational procedures, and procurements and acquisitions. (PL-8c)</w:t>
      </w:r>
    </w:p>
    <w:bookmarkEnd w:id="24"/>
    <w:bookmarkStart w:id="28" w:name="baseline-selection-pl-10"/>
    <w:p>
      <w:pPr>
        <w:pStyle w:val="Heading3"/>
      </w:pPr>
      <w:r>
        <w:t xml:space="preserve">Baseline selection (PL-10)</w:t>
      </w:r>
    </w:p>
    <w:p>
      <w:pPr>
        <w:pStyle w:val="Guidance"/>
      </w:pPr>
      <w:r>
        <w:t xml:space="preserve">Pick the baseline from the system’s security categorization: SP 800-53B defines Low, Moderate and High security baselines and a Privacy baseline. Record the choice, and any overlay applied, in the system security plan (PL-2a.11).</w:t>
      </w:r>
    </w:p>
    <w:p>
      <w:pPr>
        <w:pStyle w:val="Compact"/>
        <w:numPr>
          <w:ilvl w:val="0"/>
          <w:numId w:val="1008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a control baseline for the system, based on its security categorization, and record the selection in the system security plan. (PL-10)</w:t>
      </w:r>
    </w:p>
    <w:p>
      <w:pPr>
        <w:pStyle w:val="Compact"/>
        <w:numPr>
          <w:ilvl w:val="0"/>
          <w:numId w:val="1008"/>
        </w:numPr>
      </w:pPr>
      <w:r>
        <w:t xml:space="preserve">A system that processes personally identifiable information shall also apply the privacy control baseline. (PL-10)</w:t>
      </w:r>
    </w:p>
    <w:bookmarkStart w:id="27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systems select the SP 800-53B security baseline that matches the system’s impact level: the highest impact level for confidentiality, integrity and availability under</w:t>
      </w:r>
      <w:r>
        <w:t xml:space="preserve"> </w:t>
      </w:r>
      <w:hyperlink r:id="rId25">
        <w:r>
          <w:rPr>
            <w:rStyle w:val="Hyperlink"/>
          </w:rPr>
          <w:t xml:space="preserve">FIPS 199</w:t>
        </w:r>
      </w:hyperlink>
      <w:r>
        <w:t xml:space="preserve">, as</w:t>
      </w:r>
      <w:r>
        <w:t xml:space="preserve"> </w:t>
      </w:r>
      <w:hyperlink r:id="rId26">
        <w:r>
          <w:rPr>
            <w:rStyle w:val="Hyperlink"/>
          </w:rPr>
          <w:t xml:space="preserve">FIPS 200</w:t>
        </w:r>
      </w:hyperlink>
      <w:r>
        <w:t xml:space="preserve"> </w:t>
      </w:r>
      <w:r>
        <w:t xml:space="preserve">specifies.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the baseline that matches the system’s FIPS 199 impact level. (PL-10)</w:t>
      </w:r>
    </w:p>
    <w:bookmarkEnd w:id="27"/>
    <w:bookmarkEnd w:id="28"/>
    <w:bookmarkStart w:id="29" w:name="baseline-tailoring-pl-11"/>
    <w:p>
      <w:pPr>
        <w:pStyle w:val="Heading3"/>
      </w:pPr>
      <w:r>
        <w:t xml:space="preserve">Baseline tailoring (PL-11)</w:t>
      </w:r>
    </w:p>
    <w:p>
      <w:pPr>
        <w:pStyle w:val="Guidance"/>
      </w:pPr>
      <w:r>
        <w:t xml:space="preserve">Tailoring adjusts the baseline to the system: identifying common controls, scoping out controls that do not apply, setting parameter values, adding controls for specific threats, and applying overlays. Assessors look for a documented reason for every control removed or marked not applicable.</w:t>
      </w:r>
    </w:p>
    <w:p>
      <w:pPr>
        <w:pStyle w:val="Compact"/>
        <w:numPr>
          <w:ilvl w:val="0"/>
          <w:numId w:val="1010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tailor the selected control baseline by applying specified tailoring actions. (PL-11)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each tailoring decision, with its rationale, in the system security plan, and have the authorizing official approve it with the plan. (PL-11)</w:t>
      </w:r>
    </w:p>
    <w:bookmarkEnd w:id="29"/>
    <w:bookmarkEnd w:id="30"/>
    <w:bookmarkStart w:id="34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with which the current planning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planning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(PL-1c.1)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with which the current planning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(PL-1c.2)</w:t>
      </w:r>
    </w:p>
    <w:bookmarkStart w:id="33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1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2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2"/>
        </w:numPr>
      </w:pPr>
      <w:r>
        <w:t xml:space="preserve">Where the agency’s organization-wide policy sets a value for a parameter in this policy, each system shall use that value or a stricter one. (PL-1a.1(b))</w:t>
      </w:r>
    </w:p>
    <w:bookmarkEnd w:id="33"/>
    <w:bookmarkEnd w:id="34"/>
    <w:bookmarkEnd w:id="35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Planning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5" Target="https://csrc.nist.gov/pubs/fips/199/final" TargetMode="External" /><Relationship Type="http://schemas.openxmlformats.org/officeDocument/2006/relationships/hyperlink" Id="rId26" Target="https://csrc.nist.gov/pubs/fips/200/final" TargetMode="External" /><Relationship Type="http://schemas.openxmlformats.org/officeDocument/2006/relationships/hyperlink" Id="rId21" Target="https://kston83.github.io/nist-guide/templates/forms/rules-of-behavior/" TargetMode="External" /><Relationship Type="http://schemas.openxmlformats.org/officeDocument/2006/relationships/hyperlink" Id="rId19" Target="https://kston83.github.io/nist-guide/templates/plans/system-security-plan/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31" Target="https://uscode.house.gov/view.xhtml?req=granuleid:USC-prelim-title44-section3554&amp;num=0&amp;edition=prelim" TargetMode="External" /><Relationship Type="http://schemas.openxmlformats.org/officeDocument/2006/relationships/hyperlink" Id="rId32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5" Target="https://csrc.nist.gov/pubs/fips/199/final" TargetMode="External" /><Relationship Type="http://schemas.openxmlformats.org/officeDocument/2006/relationships/hyperlink" Id="rId26" Target="https://csrc.nist.gov/pubs/fips/200/final" TargetMode="External" /><Relationship Type="http://schemas.openxmlformats.org/officeDocument/2006/relationships/hyperlink" Id="rId21" Target="https://kston83.github.io/nist-guide/templates/forms/rules-of-behavior/" TargetMode="External" /><Relationship Type="http://schemas.openxmlformats.org/officeDocument/2006/relationships/hyperlink" Id="rId19" Target="https://kston83.github.io/nist-guide/templates/plans/system-security-plan/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31" Target="https://uscode.house.gov/view.xhtml?req=granuleid:USC-prelim-title44-section3554&amp;num=0&amp;edition=prelim" TargetMode="External" /><Relationship Type="http://schemas.openxmlformats.org/officeDocument/2006/relationships/hyperlink" Id="rId32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